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EE85EC">
      <w:pPr>
        <w:keepNext w:val="0"/>
        <w:keepLines w:val="0"/>
        <w:pageBreakBefore w:val="0"/>
        <w:widowControl w:val="0"/>
        <w:kinsoku/>
        <w:wordWrap/>
        <w:overflowPunct/>
        <w:topLinePunct w:val="0"/>
        <w:autoSpaceDE/>
        <w:autoSpaceDN/>
        <w:bidi w:val="0"/>
        <w:adjustRightInd/>
        <w:snapToGrid/>
        <w:spacing w:line="300" w:lineRule="auto"/>
        <w:ind w:left="0"/>
        <w:jc w:val="center"/>
        <w:textAlignment w:val="auto"/>
        <w:rPr>
          <w:rFonts w:hint="eastAsia" w:ascii="宋体" w:hAnsi="宋体" w:eastAsia="宋体" w:cs="宋体"/>
          <w:b/>
          <w:bCs/>
          <w:kern w:val="0"/>
          <w:sz w:val="36"/>
          <w:szCs w:val="36"/>
          <w:lang w:val="en-US" w:eastAsia="zh-CN"/>
        </w:rPr>
      </w:pPr>
      <w:r>
        <w:rPr>
          <w:rFonts w:hint="eastAsia" w:ascii="宋体" w:hAnsi="宋体" w:eastAsia="宋体" w:cs="宋体"/>
          <w:b/>
          <w:bCs/>
          <w:kern w:val="0"/>
          <w:sz w:val="36"/>
          <w:szCs w:val="36"/>
          <w:lang w:val="en-US" w:eastAsia="zh-CN"/>
        </w:rPr>
        <w:t>深圳市第二实验学校（集团）</w:t>
      </w:r>
    </w:p>
    <w:p w14:paraId="4170121E">
      <w:pPr>
        <w:keepNext w:val="0"/>
        <w:keepLines w:val="0"/>
        <w:pageBreakBefore w:val="0"/>
        <w:widowControl w:val="0"/>
        <w:kinsoku/>
        <w:wordWrap/>
        <w:overflowPunct/>
        <w:topLinePunct w:val="0"/>
        <w:autoSpaceDE/>
        <w:autoSpaceDN/>
        <w:bidi w:val="0"/>
        <w:adjustRightInd/>
        <w:snapToGrid/>
        <w:spacing w:line="300" w:lineRule="auto"/>
        <w:ind w:left="0"/>
        <w:jc w:val="center"/>
        <w:textAlignment w:val="auto"/>
        <w:rPr>
          <w:rFonts w:hint="eastAsia" w:ascii="宋体" w:hAnsi="宋体" w:eastAsia="宋体" w:cs="宋体"/>
          <w:b/>
          <w:bCs/>
          <w:kern w:val="0"/>
          <w:sz w:val="36"/>
          <w:szCs w:val="36"/>
          <w:lang w:val="en-US" w:eastAsia="zh-CN"/>
        </w:rPr>
      </w:pPr>
      <w:r>
        <w:rPr>
          <w:rFonts w:hint="eastAsia" w:ascii="宋体" w:hAnsi="宋体" w:eastAsia="宋体" w:cs="宋体"/>
          <w:b/>
          <w:bCs/>
          <w:kern w:val="0"/>
          <w:sz w:val="36"/>
          <w:szCs w:val="36"/>
          <w:lang w:val="en-US" w:eastAsia="zh-CN"/>
        </w:rPr>
        <w:t>AI数字软件编程白名单赛事训练系统采购需求说明</w:t>
      </w:r>
    </w:p>
    <w:p w14:paraId="73C95EE4">
      <w:pPr>
        <w:rPr>
          <w:rFonts w:hint="eastAsia" w:ascii="宋体" w:hAnsi="宋体" w:eastAsia="宋体" w:cs="宋体"/>
        </w:rPr>
      </w:pPr>
    </w:p>
    <w:p w14:paraId="3FD0ED68">
      <w:pPr>
        <w:rPr>
          <w:rFonts w:hint="eastAsia" w:ascii="宋体" w:hAnsi="宋体" w:eastAsia="宋体" w:cs="宋体"/>
        </w:rPr>
      </w:pPr>
    </w:p>
    <w:p w14:paraId="1305E527">
      <w:pPr>
        <w:adjustRightInd w:val="0"/>
        <w:snapToGrid w:val="0"/>
        <w:spacing w:line="300" w:lineRule="auto"/>
        <w:rPr>
          <w:rFonts w:hint="eastAsia" w:ascii="宋体" w:hAnsi="宋体" w:eastAsia="宋体" w:cs="宋体"/>
          <w:b/>
          <w:bCs/>
          <w:kern w:val="0"/>
          <w:sz w:val="28"/>
          <w:szCs w:val="28"/>
          <w:lang w:val="en-US" w:eastAsia="zh-CN"/>
        </w:rPr>
      </w:pPr>
      <w:r>
        <w:rPr>
          <w:rFonts w:hint="eastAsia" w:ascii="宋体" w:hAnsi="宋体" w:eastAsia="宋体" w:cs="宋体"/>
          <w:b/>
          <w:bCs/>
          <w:kern w:val="0"/>
          <w:sz w:val="28"/>
          <w:szCs w:val="28"/>
          <w:lang w:val="en-US" w:eastAsia="zh-CN"/>
        </w:rPr>
        <w:t>一、需求概述</w:t>
      </w:r>
    </w:p>
    <w:p w14:paraId="3B3848B7">
      <w:pPr>
        <w:ind w:firstLine="480" w:firstLineChars="200"/>
        <w:rPr>
          <w:rFonts w:hint="eastAsia" w:ascii="宋体" w:hAnsi="宋体" w:eastAsia="宋体" w:cs="宋体"/>
          <w:sz w:val="24"/>
          <w:szCs w:val="24"/>
        </w:rPr>
      </w:pPr>
      <w:r>
        <w:rPr>
          <w:rFonts w:hint="eastAsia" w:ascii="宋体" w:hAnsi="宋体" w:eastAsia="宋体" w:cs="宋体"/>
          <w:sz w:val="24"/>
          <w:szCs w:val="24"/>
        </w:rPr>
        <w:t>为贯彻落实国家《新一代人工智能发展规划》关于“在中小学阶段设置人工智能相关课程”的战略部署，响应深圳市推进智慧教育建设的号召，我校拟采购AI数字软件编程白名单赛事训练系统及相关设备，用于组织学生参与教育部白名单竞赛活动，提升学生人工智能编程素养与创新实践能力。我校此前已开展相关科创教育探索并取得初步成效。</w:t>
      </w:r>
    </w:p>
    <w:p w14:paraId="432A7CE5">
      <w:pPr>
        <w:ind w:firstLine="480" w:firstLineChars="200"/>
        <w:rPr>
          <w:rFonts w:hint="eastAsia" w:ascii="宋体" w:hAnsi="宋体" w:eastAsia="宋体" w:cs="宋体"/>
          <w:sz w:val="24"/>
          <w:szCs w:val="24"/>
        </w:rPr>
      </w:pPr>
      <w:r>
        <w:rPr>
          <w:rFonts w:hint="eastAsia" w:ascii="宋体" w:hAnsi="宋体" w:eastAsia="宋体" w:cs="宋体"/>
          <w:sz w:val="24"/>
          <w:szCs w:val="24"/>
        </w:rPr>
        <w:t>1.项目建设目标</w:t>
      </w:r>
    </w:p>
    <w:p w14:paraId="2E8268B8">
      <w:pPr>
        <w:ind w:firstLine="480" w:firstLineChars="200"/>
        <w:rPr>
          <w:rFonts w:hint="eastAsia" w:ascii="宋体" w:hAnsi="宋体" w:eastAsia="宋体" w:cs="宋体"/>
          <w:sz w:val="24"/>
          <w:szCs w:val="24"/>
        </w:rPr>
      </w:pPr>
      <w:r>
        <w:rPr>
          <w:rFonts w:hint="eastAsia" w:ascii="宋体" w:hAnsi="宋体" w:eastAsia="宋体" w:cs="宋体"/>
          <w:sz w:val="24"/>
          <w:szCs w:val="24"/>
        </w:rPr>
        <w:t>赛事目标：系统化</w:t>
      </w:r>
      <w:r>
        <w:rPr>
          <w:rFonts w:hint="eastAsia" w:ascii="宋体" w:hAnsi="宋体" w:eastAsia="宋体" w:cs="宋体"/>
          <w:sz w:val="24"/>
          <w:szCs w:val="24"/>
          <w:lang w:val="en-US" w:eastAsia="zh-CN"/>
        </w:rPr>
        <w:t>训练</w:t>
      </w:r>
      <w:r>
        <w:rPr>
          <w:rFonts w:hint="eastAsia" w:ascii="宋体" w:hAnsi="宋体" w:eastAsia="宋体" w:cs="宋体"/>
          <w:sz w:val="24"/>
          <w:szCs w:val="24"/>
        </w:rPr>
        <w:t>学生参与教育部白名单赛事（如全国青少年人工智能创新挑战赛、</w:t>
      </w:r>
      <w:r>
        <w:rPr>
          <w:rFonts w:hint="eastAsia" w:ascii="宋体" w:hAnsi="宋体" w:eastAsia="宋体" w:cs="宋体"/>
          <w:sz w:val="24"/>
          <w:szCs w:val="24"/>
          <w:lang w:val="en-US" w:eastAsia="zh-CN"/>
        </w:rPr>
        <w:t>省白名单</w:t>
      </w:r>
      <w:r>
        <w:rPr>
          <w:rFonts w:hint="eastAsia" w:ascii="宋体" w:hAnsi="宋体" w:eastAsia="宋体" w:cs="宋体"/>
          <w:sz w:val="24"/>
          <w:szCs w:val="24"/>
        </w:rPr>
        <w:t>大赛等），力争在202</w:t>
      </w:r>
      <w:r>
        <w:rPr>
          <w:rFonts w:hint="eastAsia" w:ascii="宋体" w:hAnsi="宋体" w:eastAsia="宋体" w:cs="宋体"/>
          <w:sz w:val="24"/>
          <w:szCs w:val="24"/>
          <w:lang w:val="en-US" w:eastAsia="zh-CN"/>
        </w:rPr>
        <w:t>6-2027</w:t>
      </w:r>
      <w:r>
        <w:rPr>
          <w:rFonts w:hint="eastAsia" w:ascii="宋体" w:hAnsi="宋体" w:eastAsia="宋体" w:cs="宋体"/>
          <w:sz w:val="24"/>
          <w:szCs w:val="24"/>
        </w:rPr>
        <w:t>学年获得省级以上</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含省一</w:t>
      </w:r>
      <w:r>
        <w:rPr>
          <w:rFonts w:hint="eastAsia" w:ascii="宋体" w:hAnsi="宋体" w:eastAsia="宋体" w:cs="宋体"/>
          <w:sz w:val="24"/>
          <w:szCs w:val="24"/>
          <w:lang w:eastAsia="zh-CN"/>
        </w:rPr>
        <w:t>）</w:t>
      </w:r>
      <w:r>
        <w:rPr>
          <w:rFonts w:hint="eastAsia" w:ascii="宋体" w:hAnsi="宋体" w:eastAsia="宋体" w:cs="宋体"/>
          <w:sz w:val="24"/>
          <w:szCs w:val="24"/>
        </w:rPr>
        <w:t>奖项不少于</w:t>
      </w:r>
      <w:r>
        <w:rPr>
          <w:rFonts w:hint="eastAsia" w:ascii="宋体" w:hAnsi="宋体" w:eastAsia="宋体" w:cs="宋体"/>
          <w:sz w:val="24"/>
          <w:szCs w:val="24"/>
          <w:lang w:val="en-US" w:eastAsia="zh-CN"/>
        </w:rPr>
        <w:t>6</w:t>
      </w:r>
      <w:r>
        <w:rPr>
          <w:rFonts w:hint="eastAsia" w:ascii="宋体" w:hAnsi="宋体" w:eastAsia="宋体" w:cs="宋体"/>
          <w:sz w:val="24"/>
          <w:szCs w:val="24"/>
        </w:rPr>
        <w:t>项。</w:t>
      </w:r>
    </w:p>
    <w:p w14:paraId="69473D52">
      <w:pPr>
        <w:ind w:firstLine="480" w:firstLineChars="200"/>
        <w:rPr>
          <w:rFonts w:hint="eastAsia" w:ascii="宋体" w:hAnsi="宋体" w:eastAsia="宋体" w:cs="宋体"/>
          <w:sz w:val="24"/>
          <w:szCs w:val="24"/>
        </w:rPr>
      </w:pPr>
      <w:r>
        <w:rPr>
          <w:rFonts w:hint="eastAsia" w:ascii="宋体" w:hAnsi="宋体" w:eastAsia="宋体" w:cs="宋体"/>
          <w:sz w:val="24"/>
          <w:szCs w:val="24"/>
        </w:rPr>
        <w:t>素养目标：通过项目</w:t>
      </w:r>
      <w:bookmarkStart w:id="0" w:name="_GoBack"/>
      <w:bookmarkEnd w:id="0"/>
      <w:r>
        <w:rPr>
          <w:rFonts w:hint="eastAsia" w:ascii="宋体" w:hAnsi="宋体" w:eastAsia="宋体" w:cs="宋体"/>
          <w:sz w:val="24"/>
          <w:szCs w:val="24"/>
        </w:rPr>
        <w:t>式学习，全面提升学生的计算思维、算法设计能力及数字化创新实践素养，对接综合素质评价体系要求。</w:t>
      </w:r>
    </w:p>
    <w:p w14:paraId="7A0E82DA">
      <w:pPr>
        <w:ind w:firstLine="480" w:firstLineChars="200"/>
        <w:rPr>
          <w:rFonts w:hint="eastAsia" w:ascii="宋体" w:hAnsi="宋体" w:eastAsia="宋体" w:cs="宋体"/>
          <w:sz w:val="24"/>
          <w:szCs w:val="24"/>
        </w:rPr>
      </w:pPr>
      <w:r>
        <w:rPr>
          <w:rFonts w:hint="eastAsia" w:ascii="宋体" w:hAnsi="宋体" w:eastAsia="宋体" w:cs="宋体"/>
          <w:sz w:val="24"/>
          <w:szCs w:val="24"/>
        </w:rPr>
        <w:t>2.建设原则</w:t>
      </w:r>
    </w:p>
    <w:p w14:paraId="39A09FD8">
      <w:pPr>
        <w:ind w:firstLine="480" w:firstLineChars="200"/>
        <w:rPr>
          <w:rFonts w:hint="eastAsia" w:ascii="宋体" w:hAnsi="宋体" w:eastAsia="宋体" w:cs="宋体"/>
          <w:sz w:val="24"/>
          <w:szCs w:val="24"/>
        </w:rPr>
      </w:pPr>
      <w:r>
        <w:rPr>
          <w:rFonts w:hint="eastAsia" w:ascii="宋体" w:hAnsi="宋体" w:eastAsia="宋体" w:cs="宋体"/>
          <w:sz w:val="24"/>
          <w:szCs w:val="24"/>
        </w:rPr>
        <w:t>安全合规原则：所有软件平台须符合国家网络安全等级保护要求，学生数据存储与传输须满足《中华人民共和国个人信息保护法》及教育行业数据安全相关规定，平台内容须通过深圳市教育主管部门内容审核标准。</w:t>
      </w:r>
    </w:p>
    <w:p w14:paraId="240D453D">
      <w:pPr>
        <w:ind w:firstLine="480" w:firstLineChars="200"/>
        <w:rPr>
          <w:rFonts w:hint="eastAsia" w:ascii="宋体" w:hAnsi="宋体" w:eastAsia="宋体" w:cs="宋体"/>
          <w:sz w:val="24"/>
          <w:szCs w:val="24"/>
        </w:rPr>
      </w:pPr>
      <w:r>
        <w:rPr>
          <w:rFonts w:hint="eastAsia" w:ascii="宋体" w:hAnsi="宋体" w:eastAsia="宋体" w:cs="宋体"/>
          <w:sz w:val="24"/>
          <w:szCs w:val="24"/>
        </w:rPr>
        <w:t>标准对接原则：训练内容与课程体系须对标教育部白名单赛事技术规范及广东省、深圳市相关竞赛规则，确保“训练即实战”。</w:t>
      </w:r>
    </w:p>
    <w:p w14:paraId="7F2807B8">
      <w:pPr>
        <w:ind w:firstLine="480" w:firstLineChars="200"/>
        <w:rPr>
          <w:rFonts w:hint="eastAsia" w:ascii="宋体" w:hAnsi="宋体" w:eastAsia="宋体" w:cs="宋体"/>
          <w:sz w:val="24"/>
          <w:szCs w:val="24"/>
        </w:rPr>
      </w:pPr>
      <w:r>
        <w:rPr>
          <w:rFonts w:hint="eastAsia" w:ascii="宋体" w:hAnsi="宋体" w:eastAsia="宋体" w:cs="宋体"/>
          <w:sz w:val="24"/>
          <w:szCs w:val="24"/>
        </w:rPr>
        <w:t>易用性原则：软件平台界面简洁友好，支持教师快速上手；硬件设备操作简便，具备自检功能，降低日常维护成本。</w:t>
      </w:r>
    </w:p>
    <w:p w14:paraId="204C95EF">
      <w:pPr>
        <w:ind w:firstLine="480" w:firstLineChars="200"/>
        <w:rPr>
          <w:rFonts w:hint="eastAsia" w:ascii="宋体" w:hAnsi="宋体" w:eastAsia="宋体" w:cs="宋体"/>
          <w:sz w:val="24"/>
          <w:szCs w:val="24"/>
        </w:rPr>
      </w:pPr>
      <w:r>
        <w:rPr>
          <w:rFonts w:hint="eastAsia" w:ascii="宋体" w:hAnsi="宋体" w:eastAsia="宋体" w:cs="宋体"/>
          <w:sz w:val="24"/>
          <w:szCs w:val="24"/>
        </w:rPr>
        <w:t>可扩展性原则：系统须预留接口，支持后续对接校内智慧教育平台及新增赛事模块，避免重复建设。</w:t>
      </w:r>
    </w:p>
    <w:p w14:paraId="52AEA9C4">
      <w:pPr>
        <w:ind w:firstLine="480" w:firstLineChars="200"/>
        <w:rPr>
          <w:rFonts w:hint="eastAsia" w:ascii="宋体" w:hAnsi="宋体" w:eastAsia="宋体" w:cs="宋体"/>
          <w:sz w:val="24"/>
          <w:szCs w:val="24"/>
        </w:rPr>
      </w:pPr>
      <w:r>
        <w:rPr>
          <w:rFonts w:hint="eastAsia" w:ascii="宋体" w:hAnsi="宋体" w:eastAsia="宋体" w:cs="宋体"/>
          <w:sz w:val="24"/>
          <w:szCs w:val="24"/>
        </w:rPr>
        <w:t>3.适用范围与对象</w:t>
      </w:r>
    </w:p>
    <w:p w14:paraId="49785969">
      <w:pPr>
        <w:ind w:firstLine="480" w:firstLineChars="200"/>
        <w:rPr>
          <w:rFonts w:hint="eastAsia" w:ascii="宋体" w:hAnsi="宋体" w:eastAsia="宋体" w:cs="宋体"/>
          <w:sz w:val="24"/>
          <w:szCs w:val="24"/>
        </w:rPr>
      </w:pPr>
      <w:r>
        <w:rPr>
          <w:rFonts w:hint="eastAsia" w:ascii="宋体" w:hAnsi="宋体" w:eastAsia="宋体" w:cs="宋体"/>
          <w:sz w:val="24"/>
          <w:szCs w:val="24"/>
        </w:rPr>
        <w:t>本次采购的软件系统、硬件设备及配套服务，主要服务于深圳市第二实验学校全体学生，优先保障信息技术课程教学及课后延时服务社团活动需求。</w:t>
      </w:r>
    </w:p>
    <w:p w14:paraId="0595EDF5">
      <w:pPr>
        <w:ind w:firstLine="480" w:firstLineChars="200"/>
        <w:rPr>
          <w:rFonts w:hint="eastAsia" w:ascii="宋体" w:hAnsi="宋体" w:eastAsia="宋体" w:cs="宋体"/>
          <w:sz w:val="24"/>
          <w:szCs w:val="24"/>
        </w:rPr>
      </w:pPr>
    </w:p>
    <w:p w14:paraId="4BBA75D7">
      <w:pPr>
        <w:adjustRightInd w:val="0"/>
        <w:snapToGrid w:val="0"/>
        <w:spacing w:line="300" w:lineRule="auto"/>
        <w:rPr>
          <w:rFonts w:hint="eastAsia" w:ascii="宋体" w:hAnsi="宋体" w:eastAsia="宋体" w:cs="宋体"/>
          <w:b/>
          <w:bCs/>
          <w:kern w:val="0"/>
          <w:sz w:val="28"/>
          <w:szCs w:val="28"/>
          <w:lang w:val="en-US" w:eastAsia="zh-CN"/>
        </w:rPr>
      </w:pPr>
      <w:r>
        <w:rPr>
          <w:rFonts w:hint="eastAsia" w:ascii="宋体" w:hAnsi="宋体" w:eastAsia="宋体" w:cs="宋体"/>
          <w:b/>
          <w:bCs/>
          <w:kern w:val="0"/>
          <w:sz w:val="28"/>
          <w:szCs w:val="28"/>
          <w:lang w:val="en-US" w:eastAsia="zh-CN"/>
        </w:rPr>
        <w:t>二、政策依据</w:t>
      </w:r>
    </w:p>
    <w:p w14:paraId="7CA99804">
      <w:pPr>
        <w:ind w:firstLine="480" w:firstLineChars="200"/>
        <w:rPr>
          <w:rFonts w:hint="eastAsia" w:ascii="宋体" w:hAnsi="宋体" w:eastAsia="宋体" w:cs="宋体"/>
          <w:sz w:val="24"/>
          <w:szCs w:val="24"/>
        </w:rPr>
      </w:pPr>
      <w:r>
        <w:rPr>
          <w:rFonts w:hint="eastAsia" w:ascii="宋体" w:hAnsi="宋体" w:eastAsia="宋体" w:cs="宋体"/>
          <w:sz w:val="24"/>
          <w:szCs w:val="24"/>
        </w:rPr>
        <w:t>根据教育部公布的2025—2028学年面向中小学生的全国性竞赛活动名单，共有47项竞赛进入白名单，其中自然科学素养类涉及人工智能、编程、机器人等领域的竞赛达22项。本次采购旨在为我校学生参加“全国青少年人工智能创新挑战赛”“全国中小学信息技术创新与实践大赛（NOC）”“世界机器人大赛”等教育部白名单赛事提供系统化训练平台。白名单赛事具有国家级认证资质，其获奖结果纳入中小学生综合素质评价体系，在高中特长生报名、校内评优等方面具有重要作用。</w:t>
      </w:r>
    </w:p>
    <w:p w14:paraId="70E019C1">
      <w:pPr>
        <w:ind w:firstLine="480" w:firstLineChars="200"/>
        <w:rPr>
          <w:rFonts w:hint="eastAsia" w:ascii="宋体" w:hAnsi="宋体" w:eastAsia="宋体" w:cs="宋体"/>
          <w:sz w:val="24"/>
          <w:szCs w:val="24"/>
        </w:rPr>
      </w:pPr>
    </w:p>
    <w:p w14:paraId="1B469251">
      <w:pPr>
        <w:ind w:firstLine="480" w:firstLineChars="200"/>
        <w:rPr>
          <w:rFonts w:hint="eastAsia" w:ascii="宋体" w:hAnsi="宋体" w:eastAsia="宋体" w:cs="宋体"/>
          <w:sz w:val="24"/>
          <w:szCs w:val="24"/>
        </w:rPr>
      </w:pPr>
    </w:p>
    <w:p w14:paraId="1A32CFDF">
      <w:pPr>
        <w:ind w:firstLine="480" w:firstLineChars="200"/>
        <w:rPr>
          <w:rFonts w:hint="eastAsia" w:ascii="宋体" w:hAnsi="宋体" w:eastAsia="宋体" w:cs="宋体"/>
          <w:sz w:val="24"/>
          <w:szCs w:val="24"/>
        </w:rPr>
      </w:pPr>
    </w:p>
    <w:p w14:paraId="032DB0D0">
      <w:pPr>
        <w:adjustRightInd w:val="0"/>
        <w:snapToGrid w:val="0"/>
        <w:spacing w:line="300" w:lineRule="auto"/>
        <w:rPr>
          <w:rFonts w:hint="eastAsia" w:ascii="宋体" w:hAnsi="宋体" w:eastAsia="宋体" w:cs="宋体"/>
          <w:b/>
          <w:bCs/>
          <w:kern w:val="0"/>
          <w:sz w:val="28"/>
          <w:szCs w:val="28"/>
          <w:lang w:val="en-US" w:eastAsia="zh-CN"/>
        </w:rPr>
      </w:pPr>
      <w:r>
        <w:rPr>
          <w:rFonts w:hint="eastAsia" w:ascii="宋体" w:hAnsi="宋体" w:eastAsia="宋体" w:cs="宋体"/>
          <w:b/>
          <w:bCs/>
          <w:kern w:val="0"/>
          <w:sz w:val="28"/>
          <w:szCs w:val="28"/>
          <w:lang w:val="en-US" w:eastAsia="zh-CN"/>
        </w:rPr>
        <w:t>三、采购内容</w:t>
      </w:r>
    </w:p>
    <w:p w14:paraId="2320D985">
      <w:pPr>
        <w:pStyle w:val="4"/>
        <w:keepNext w:val="0"/>
        <w:keepLines w:val="0"/>
        <w:widowControl/>
        <w:suppressLineNumbers w:val="0"/>
        <w:ind w:left="0" w:firstLine="0"/>
        <w:rPr>
          <w:rFonts w:hint="eastAsia" w:ascii="宋体" w:hAnsi="宋体" w:eastAsia="宋体" w:cs="宋体"/>
          <w:sz w:val="24"/>
          <w:szCs w:val="24"/>
        </w:rPr>
      </w:pPr>
      <w:r>
        <w:rPr>
          <w:rFonts w:hint="eastAsia" w:ascii="宋体" w:hAnsi="宋体" w:eastAsia="宋体" w:cs="宋体"/>
          <w:sz w:val="24"/>
          <w:szCs w:val="24"/>
        </w:rPr>
        <w:t>（一）AI数字软件编程教学训练平台（软件系统）</w:t>
      </w:r>
    </w:p>
    <w:tbl>
      <w:tblPr>
        <w:tblStyle w:val="6"/>
        <w:tblW w:w="0" w:type="auto"/>
        <w:tblInd w:w="0" w:type="dxa"/>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2336"/>
        <w:gridCol w:w="6000"/>
      </w:tblGrid>
      <w:tr w14:paraId="26A6DC30">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shd w:val="clear" w:color="auto" w:fill="auto"/>
          <w:tblCellMar>
            <w:top w:w="15" w:type="dxa"/>
            <w:left w:w="15" w:type="dxa"/>
            <w:bottom w:w="15" w:type="dxa"/>
            <w:right w:w="15" w:type="dxa"/>
          </w:tblCellMar>
        </w:tblPrEx>
        <w:tc>
          <w:tcPr>
            <w:tcW w:w="3156" w:type="dxa"/>
            <w:tcBorders>
              <w:top w:val="single" w:color="auto" w:sz="4" w:space="0"/>
              <w:left w:val="single" w:color="auto" w:sz="4" w:space="0"/>
              <w:bottom w:val="single" w:color="auto" w:sz="4" w:space="0"/>
              <w:right w:val="single" w:color="auto" w:sz="4" w:space="0"/>
            </w:tcBorders>
            <w:shd w:val="clear" w:color="auto" w:fill="auto"/>
            <w:vAlign w:val="top"/>
          </w:tcPr>
          <w:p w14:paraId="23AF19C2">
            <w:pPr>
              <w:pStyle w:val="5"/>
              <w:keepNext w:val="0"/>
              <w:keepLines w:val="0"/>
              <w:widowControl/>
              <w:suppressLineNumbers w:val="0"/>
              <w:spacing w:before="0" w:beforeAutospacing="0" w:after="0" w:afterAutospacing="0"/>
              <w:ind w:left="0" w:right="0"/>
              <w:jc w:val="left"/>
              <w:rPr>
                <w:rFonts w:hint="eastAsia" w:ascii="宋体" w:hAnsi="宋体" w:eastAsia="宋体" w:cs="宋体"/>
                <w:sz w:val="24"/>
                <w:szCs w:val="24"/>
              </w:rPr>
            </w:pPr>
            <w:r>
              <w:rPr>
                <w:rStyle w:val="8"/>
                <w:rFonts w:hint="eastAsia" w:ascii="宋体" w:hAnsi="宋体" w:eastAsia="宋体" w:cs="宋体"/>
                <w:b/>
                <w:bCs/>
                <w:sz w:val="24"/>
                <w:szCs w:val="24"/>
              </w:rPr>
              <w:t>功能模块</w:t>
            </w:r>
          </w:p>
        </w:tc>
        <w:tc>
          <w:tcPr>
            <w:tcW w:w="7944" w:type="dxa"/>
            <w:tcBorders>
              <w:top w:val="single" w:color="auto" w:sz="4" w:space="0"/>
              <w:left w:val="single" w:color="auto" w:sz="4" w:space="0"/>
              <w:bottom w:val="single" w:color="auto" w:sz="4" w:space="0"/>
              <w:right w:val="single" w:color="auto" w:sz="4" w:space="0"/>
            </w:tcBorders>
            <w:shd w:val="clear" w:color="auto" w:fill="auto"/>
            <w:vAlign w:val="top"/>
          </w:tcPr>
          <w:p w14:paraId="5D9699AC">
            <w:pPr>
              <w:pStyle w:val="5"/>
              <w:keepNext w:val="0"/>
              <w:keepLines w:val="0"/>
              <w:widowControl/>
              <w:suppressLineNumbers w:val="0"/>
              <w:spacing w:before="0" w:beforeAutospacing="0" w:after="0" w:afterAutospacing="0"/>
              <w:ind w:left="0" w:right="0"/>
              <w:jc w:val="left"/>
              <w:rPr>
                <w:rFonts w:hint="eastAsia" w:ascii="宋体" w:hAnsi="宋体" w:eastAsia="宋体" w:cs="宋体"/>
                <w:sz w:val="24"/>
                <w:szCs w:val="24"/>
              </w:rPr>
            </w:pPr>
            <w:r>
              <w:rPr>
                <w:rStyle w:val="8"/>
                <w:rFonts w:hint="eastAsia" w:ascii="宋体" w:hAnsi="宋体" w:eastAsia="宋体" w:cs="宋体"/>
                <w:b/>
                <w:bCs/>
                <w:sz w:val="24"/>
                <w:szCs w:val="24"/>
              </w:rPr>
              <w:t>具体要求</w:t>
            </w:r>
          </w:p>
        </w:tc>
      </w:tr>
      <w:tr w14:paraId="4847BB41">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15" w:type="dxa"/>
            <w:left w:w="15" w:type="dxa"/>
            <w:bottom w:w="15" w:type="dxa"/>
            <w:right w:w="15" w:type="dxa"/>
          </w:tblCellMar>
        </w:tblPrEx>
        <w:tc>
          <w:tcPr>
            <w:tcW w:w="3156" w:type="dxa"/>
            <w:tcBorders>
              <w:top w:val="single" w:color="auto" w:sz="4" w:space="0"/>
              <w:left w:val="single" w:color="auto" w:sz="4" w:space="0"/>
              <w:bottom w:val="single" w:color="auto" w:sz="4" w:space="0"/>
              <w:right w:val="single" w:color="auto" w:sz="4" w:space="0"/>
            </w:tcBorders>
            <w:shd w:val="clear" w:color="auto" w:fill="auto"/>
            <w:vAlign w:val="top"/>
          </w:tcPr>
          <w:p w14:paraId="0EE9BCD8">
            <w:pPr>
              <w:pStyle w:val="5"/>
              <w:keepNext w:val="0"/>
              <w:keepLines w:val="0"/>
              <w:widowControl/>
              <w:suppressLineNumbers w:val="0"/>
              <w:spacing w:before="0" w:beforeAutospacing="0" w:after="0" w:afterAutospacing="0"/>
              <w:ind w:left="0" w:right="0"/>
              <w:jc w:val="left"/>
              <w:rPr>
                <w:rFonts w:hint="eastAsia" w:ascii="宋体" w:hAnsi="宋体" w:eastAsia="宋体" w:cs="宋体"/>
                <w:sz w:val="24"/>
                <w:szCs w:val="24"/>
              </w:rPr>
            </w:pPr>
            <w:r>
              <w:rPr>
                <w:rFonts w:hint="eastAsia" w:ascii="宋体" w:hAnsi="宋体" w:eastAsia="宋体" w:cs="宋体"/>
                <w:sz w:val="24"/>
                <w:szCs w:val="24"/>
              </w:rPr>
              <w:t>编程训练模块</w:t>
            </w:r>
          </w:p>
        </w:tc>
        <w:tc>
          <w:tcPr>
            <w:tcW w:w="7944" w:type="dxa"/>
            <w:tcBorders>
              <w:top w:val="single" w:color="auto" w:sz="4" w:space="0"/>
              <w:left w:val="single" w:color="auto" w:sz="4" w:space="0"/>
              <w:bottom w:val="single" w:color="auto" w:sz="4" w:space="0"/>
              <w:right w:val="single" w:color="auto" w:sz="4" w:space="0"/>
            </w:tcBorders>
            <w:shd w:val="clear" w:color="auto" w:fill="auto"/>
            <w:vAlign w:val="top"/>
          </w:tcPr>
          <w:p w14:paraId="552D7D96">
            <w:pPr>
              <w:pStyle w:val="5"/>
              <w:keepNext w:val="0"/>
              <w:keepLines w:val="0"/>
              <w:widowControl/>
              <w:suppressLineNumbers w:val="0"/>
              <w:spacing w:before="0" w:beforeAutospacing="0" w:after="0" w:afterAutospacing="0"/>
              <w:ind w:left="0" w:right="0"/>
              <w:jc w:val="left"/>
              <w:rPr>
                <w:rFonts w:hint="eastAsia" w:ascii="宋体" w:hAnsi="宋体" w:eastAsia="宋体" w:cs="宋体"/>
                <w:sz w:val="24"/>
                <w:szCs w:val="24"/>
              </w:rPr>
            </w:pPr>
            <w:r>
              <w:rPr>
                <w:rFonts w:hint="eastAsia" w:ascii="宋体" w:hAnsi="宋体" w:eastAsia="宋体" w:cs="宋体"/>
                <w:sz w:val="24"/>
                <w:szCs w:val="24"/>
              </w:rPr>
              <w:t>支持Python、图形化编程（如Mind+、Scratch）双模式教学环境，满足零基础至进阶学生的分层训练需求；同时支持虚拟无人车编程、智能路径规划等白名单赛事典型项目训练</w:t>
            </w:r>
          </w:p>
        </w:tc>
      </w:tr>
      <w:tr w14:paraId="490670B6">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shd w:val="clear" w:color="auto" w:fill="auto"/>
          <w:tblCellMar>
            <w:top w:w="15" w:type="dxa"/>
            <w:left w:w="15" w:type="dxa"/>
            <w:bottom w:w="15" w:type="dxa"/>
            <w:right w:w="15" w:type="dxa"/>
          </w:tblCellMar>
        </w:tblPrEx>
        <w:tc>
          <w:tcPr>
            <w:tcW w:w="3156" w:type="dxa"/>
            <w:tcBorders>
              <w:top w:val="single" w:color="auto" w:sz="4" w:space="0"/>
              <w:left w:val="single" w:color="auto" w:sz="4" w:space="0"/>
              <w:bottom w:val="single" w:color="auto" w:sz="4" w:space="0"/>
              <w:right w:val="single" w:color="auto" w:sz="4" w:space="0"/>
            </w:tcBorders>
            <w:shd w:val="clear" w:color="auto" w:fill="auto"/>
            <w:vAlign w:val="top"/>
          </w:tcPr>
          <w:p w14:paraId="6CA7A839">
            <w:pPr>
              <w:pStyle w:val="5"/>
              <w:keepNext w:val="0"/>
              <w:keepLines w:val="0"/>
              <w:widowControl/>
              <w:suppressLineNumbers w:val="0"/>
              <w:spacing w:before="0" w:beforeAutospacing="0" w:after="0" w:afterAutospacing="0"/>
              <w:ind w:left="0" w:right="0"/>
              <w:jc w:val="left"/>
              <w:rPr>
                <w:rFonts w:hint="eastAsia" w:ascii="宋体" w:hAnsi="宋体" w:eastAsia="宋体" w:cs="宋体"/>
                <w:sz w:val="24"/>
                <w:szCs w:val="24"/>
              </w:rPr>
            </w:pPr>
            <w:r>
              <w:rPr>
                <w:rFonts w:hint="eastAsia" w:ascii="宋体" w:hAnsi="宋体" w:eastAsia="宋体" w:cs="宋体"/>
                <w:sz w:val="24"/>
                <w:szCs w:val="24"/>
              </w:rPr>
              <w:t>竞赛题库系统</w:t>
            </w:r>
          </w:p>
        </w:tc>
        <w:tc>
          <w:tcPr>
            <w:tcW w:w="7944" w:type="dxa"/>
            <w:tcBorders>
              <w:top w:val="single" w:color="auto" w:sz="4" w:space="0"/>
              <w:left w:val="single" w:color="auto" w:sz="4" w:space="0"/>
              <w:bottom w:val="single" w:color="auto" w:sz="4" w:space="0"/>
              <w:right w:val="single" w:color="auto" w:sz="4" w:space="0"/>
            </w:tcBorders>
            <w:shd w:val="clear" w:color="auto" w:fill="auto"/>
            <w:vAlign w:val="top"/>
          </w:tcPr>
          <w:p w14:paraId="264BF125">
            <w:pPr>
              <w:pStyle w:val="5"/>
              <w:keepNext w:val="0"/>
              <w:keepLines w:val="0"/>
              <w:widowControl/>
              <w:suppressLineNumbers w:val="0"/>
              <w:spacing w:before="0" w:beforeAutospacing="0" w:after="0" w:afterAutospacing="0"/>
              <w:ind w:left="0" w:right="0"/>
              <w:jc w:val="left"/>
              <w:rPr>
                <w:rFonts w:hint="eastAsia" w:ascii="宋体" w:hAnsi="宋体" w:eastAsia="宋体" w:cs="宋体"/>
                <w:sz w:val="24"/>
                <w:szCs w:val="24"/>
              </w:rPr>
            </w:pPr>
            <w:r>
              <w:rPr>
                <w:rFonts w:hint="eastAsia" w:ascii="宋体" w:hAnsi="宋体" w:eastAsia="宋体" w:cs="宋体"/>
                <w:sz w:val="24"/>
                <w:szCs w:val="24"/>
              </w:rPr>
              <w:t>内置历年白名单赛事真题及模拟题，涵盖算法思维、数据结构、人工智能基础等知识模块；支持“红色文化+编程”等主题融合训练内容</w:t>
            </w:r>
          </w:p>
        </w:tc>
      </w:tr>
      <w:tr w14:paraId="256A8A16">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15" w:type="dxa"/>
            <w:left w:w="15" w:type="dxa"/>
            <w:bottom w:w="15" w:type="dxa"/>
            <w:right w:w="15" w:type="dxa"/>
          </w:tblCellMar>
        </w:tblPrEx>
        <w:tc>
          <w:tcPr>
            <w:tcW w:w="3156" w:type="dxa"/>
            <w:tcBorders>
              <w:top w:val="single" w:color="auto" w:sz="4" w:space="0"/>
              <w:left w:val="single" w:color="auto" w:sz="4" w:space="0"/>
              <w:bottom w:val="single" w:color="auto" w:sz="4" w:space="0"/>
              <w:right w:val="single" w:color="auto" w:sz="4" w:space="0"/>
            </w:tcBorders>
            <w:shd w:val="clear" w:color="auto" w:fill="auto"/>
            <w:vAlign w:val="top"/>
          </w:tcPr>
          <w:p w14:paraId="09CAD2B9">
            <w:pPr>
              <w:pStyle w:val="5"/>
              <w:keepNext w:val="0"/>
              <w:keepLines w:val="0"/>
              <w:widowControl/>
              <w:suppressLineNumbers w:val="0"/>
              <w:spacing w:before="0" w:beforeAutospacing="0" w:after="0" w:afterAutospacing="0"/>
              <w:ind w:left="0" w:right="0"/>
              <w:jc w:val="left"/>
              <w:rPr>
                <w:rFonts w:hint="eastAsia" w:ascii="宋体" w:hAnsi="宋体" w:eastAsia="宋体" w:cs="宋体"/>
                <w:sz w:val="24"/>
                <w:szCs w:val="24"/>
              </w:rPr>
            </w:pPr>
            <w:r>
              <w:rPr>
                <w:rFonts w:hint="eastAsia" w:ascii="宋体" w:hAnsi="宋体" w:eastAsia="宋体" w:cs="宋体"/>
                <w:sz w:val="24"/>
                <w:szCs w:val="24"/>
              </w:rPr>
              <w:t>在线评测系统</w:t>
            </w:r>
          </w:p>
        </w:tc>
        <w:tc>
          <w:tcPr>
            <w:tcW w:w="7944" w:type="dxa"/>
            <w:tcBorders>
              <w:top w:val="single" w:color="auto" w:sz="4" w:space="0"/>
              <w:left w:val="single" w:color="auto" w:sz="4" w:space="0"/>
              <w:bottom w:val="single" w:color="auto" w:sz="4" w:space="0"/>
              <w:right w:val="single" w:color="auto" w:sz="4" w:space="0"/>
            </w:tcBorders>
            <w:shd w:val="clear" w:color="auto" w:fill="auto"/>
            <w:vAlign w:val="top"/>
          </w:tcPr>
          <w:p w14:paraId="22585153">
            <w:pPr>
              <w:pStyle w:val="5"/>
              <w:keepNext w:val="0"/>
              <w:keepLines w:val="0"/>
              <w:widowControl/>
              <w:suppressLineNumbers w:val="0"/>
              <w:spacing w:before="0" w:beforeAutospacing="0" w:after="0" w:afterAutospacing="0"/>
              <w:ind w:left="0" w:right="0"/>
              <w:jc w:val="left"/>
              <w:rPr>
                <w:rFonts w:hint="eastAsia" w:ascii="宋体" w:hAnsi="宋体" w:eastAsia="宋体" w:cs="宋体"/>
                <w:sz w:val="24"/>
                <w:szCs w:val="24"/>
              </w:rPr>
            </w:pPr>
            <w:r>
              <w:rPr>
                <w:rFonts w:hint="eastAsia" w:ascii="宋体" w:hAnsi="宋体" w:eastAsia="宋体" w:cs="宋体"/>
                <w:sz w:val="24"/>
                <w:szCs w:val="24"/>
              </w:rPr>
              <w:t>支持自动判题、代码查重、成绩统计分析，可模拟线上竞赛环境（适配谷歌Chrome浏览器69版本及以上）</w:t>
            </w:r>
          </w:p>
        </w:tc>
      </w:tr>
      <w:tr w14:paraId="206A6451">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15" w:type="dxa"/>
            <w:left w:w="15" w:type="dxa"/>
            <w:bottom w:w="15" w:type="dxa"/>
            <w:right w:w="15" w:type="dxa"/>
          </w:tblCellMar>
        </w:tblPrEx>
        <w:tc>
          <w:tcPr>
            <w:tcW w:w="3156" w:type="dxa"/>
            <w:tcBorders>
              <w:top w:val="single" w:color="auto" w:sz="4" w:space="0"/>
              <w:left w:val="single" w:color="auto" w:sz="4" w:space="0"/>
              <w:bottom w:val="single" w:color="auto" w:sz="4" w:space="0"/>
              <w:right w:val="single" w:color="auto" w:sz="4" w:space="0"/>
            </w:tcBorders>
            <w:shd w:val="clear" w:color="auto" w:fill="auto"/>
            <w:vAlign w:val="top"/>
          </w:tcPr>
          <w:p w14:paraId="4395DE03">
            <w:pPr>
              <w:pStyle w:val="5"/>
              <w:keepNext w:val="0"/>
              <w:keepLines w:val="0"/>
              <w:widowControl/>
              <w:suppressLineNumbers w:val="0"/>
              <w:spacing w:before="0" w:beforeAutospacing="0" w:after="0" w:afterAutospacing="0"/>
              <w:ind w:left="0" w:right="0"/>
              <w:jc w:val="left"/>
              <w:rPr>
                <w:rFonts w:hint="eastAsia" w:ascii="宋体" w:hAnsi="宋体" w:eastAsia="宋体" w:cs="宋体"/>
                <w:sz w:val="24"/>
                <w:szCs w:val="24"/>
              </w:rPr>
            </w:pPr>
            <w:r>
              <w:rPr>
                <w:rFonts w:hint="eastAsia" w:ascii="宋体" w:hAnsi="宋体" w:eastAsia="宋体" w:cs="宋体"/>
                <w:sz w:val="24"/>
                <w:szCs w:val="24"/>
              </w:rPr>
              <w:t>虚拟仿真实验模块</w:t>
            </w:r>
          </w:p>
        </w:tc>
        <w:tc>
          <w:tcPr>
            <w:tcW w:w="7944" w:type="dxa"/>
            <w:tcBorders>
              <w:top w:val="single" w:color="auto" w:sz="4" w:space="0"/>
              <w:left w:val="single" w:color="auto" w:sz="4" w:space="0"/>
              <w:bottom w:val="single" w:color="auto" w:sz="4" w:space="0"/>
              <w:right w:val="single" w:color="auto" w:sz="4" w:space="0"/>
            </w:tcBorders>
            <w:shd w:val="clear" w:color="auto" w:fill="auto"/>
            <w:vAlign w:val="top"/>
          </w:tcPr>
          <w:p w14:paraId="6AD2B82E">
            <w:pPr>
              <w:pStyle w:val="5"/>
              <w:keepNext w:val="0"/>
              <w:keepLines w:val="0"/>
              <w:widowControl/>
              <w:suppressLineNumbers w:val="0"/>
              <w:spacing w:before="0" w:beforeAutospacing="0" w:after="0" w:afterAutospacing="0"/>
              <w:ind w:left="0" w:right="0"/>
              <w:jc w:val="left"/>
              <w:rPr>
                <w:rFonts w:hint="eastAsia" w:ascii="宋体" w:hAnsi="宋体" w:eastAsia="宋体" w:cs="宋体"/>
                <w:sz w:val="24"/>
                <w:szCs w:val="24"/>
              </w:rPr>
            </w:pPr>
            <w:r>
              <w:rPr>
                <w:rFonts w:hint="eastAsia" w:ascii="宋体" w:hAnsi="宋体" w:eastAsia="宋体" w:cs="宋体"/>
                <w:sz w:val="24"/>
                <w:szCs w:val="24"/>
              </w:rPr>
              <w:t>支持虚拟无人车巡线、智能避障、路径规划、等仿真编程实践项目，契合全国青少年人工智能创新挑战赛硬件交互等国省白名单赛事考查方向</w:t>
            </w:r>
          </w:p>
        </w:tc>
      </w:tr>
      <w:tr w14:paraId="1E7EE12C">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shd w:val="clear" w:color="auto" w:fill="auto"/>
          <w:tblCellMar>
            <w:top w:w="15" w:type="dxa"/>
            <w:left w:w="15" w:type="dxa"/>
            <w:bottom w:w="15" w:type="dxa"/>
            <w:right w:w="15" w:type="dxa"/>
          </w:tblCellMar>
        </w:tblPrEx>
        <w:tc>
          <w:tcPr>
            <w:tcW w:w="3156" w:type="dxa"/>
            <w:tcBorders>
              <w:top w:val="single" w:color="auto" w:sz="4" w:space="0"/>
              <w:left w:val="single" w:color="auto" w:sz="4" w:space="0"/>
              <w:bottom w:val="single" w:color="auto" w:sz="4" w:space="0"/>
              <w:right w:val="single" w:color="auto" w:sz="4" w:space="0"/>
            </w:tcBorders>
            <w:shd w:val="clear" w:color="auto" w:fill="auto"/>
            <w:vAlign w:val="top"/>
          </w:tcPr>
          <w:p w14:paraId="648B6053">
            <w:pPr>
              <w:pStyle w:val="5"/>
              <w:keepNext w:val="0"/>
              <w:keepLines w:val="0"/>
              <w:widowControl/>
              <w:suppressLineNumbers w:val="0"/>
              <w:spacing w:before="0" w:beforeAutospacing="0" w:after="0" w:afterAutospacing="0"/>
              <w:ind w:left="0" w:right="0"/>
              <w:jc w:val="left"/>
              <w:rPr>
                <w:rFonts w:hint="eastAsia" w:ascii="宋体" w:hAnsi="宋体" w:eastAsia="宋体" w:cs="宋体"/>
                <w:sz w:val="24"/>
                <w:szCs w:val="24"/>
              </w:rPr>
            </w:pPr>
            <w:r>
              <w:rPr>
                <w:rFonts w:hint="eastAsia" w:ascii="宋体" w:hAnsi="宋体" w:eastAsia="宋体" w:cs="宋体"/>
                <w:sz w:val="24"/>
                <w:szCs w:val="24"/>
              </w:rPr>
              <w:t>学情管理后台</w:t>
            </w:r>
          </w:p>
        </w:tc>
        <w:tc>
          <w:tcPr>
            <w:tcW w:w="7944" w:type="dxa"/>
            <w:tcBorders>
              <w:top w:val="single" w:color="auto" w:sz="4" w:space="0"/>
              <w:left w:val="single" w:color="auto" w:sz="4" w:space="0"/>
              <w:bottom w:val="single" w:color="auto" w:sz="4" w:space="0"/>
              <w:right w:val="single" w:color="auto" w:sz="4" w:space="0"/>
            </w:tcBorders>
            <w:shd w:val="clear" w:color="auto" w:fill="auto"/>
            <w:vAlign w:val="top"/>
          </w:tcPr>
          <w:p w14:paraId="1F3EB42F">
            <w:pPr>
              <w:pStyle w:val="5"/>
              <w:keepNext w:val="0"/>
              <w:keepLines w:val="0"/>
              <w:widowControl/>
              <w:suppressLineNumbers w:val="0"/>
              <w:spacing w:before="0" w:beforeAutospacing="0" w:after="0" w:afterAutospacing="0"/>
              <w:ind w:left="0" w:right="0"/>
              <w:jc w:val="left"/>
              <w:rPr>
                <w:rFonts w:hint="eastAsia" w:ascii="宋体" w:hAnsi="宋体" w:eastAsia="宋体" w:cs="宋体"/>
                <w:sz w:val="24"/>
                <w:szCs w:val="24"/>
              </w:rPr>
            </w:pPr>
            <w:r>
              <w:rPr>
                <w:rFonts w:hint="eastAsia" w:ascii="宋体" w:hAnsi="宋体" w:eastAsia="宋体" w:cs="宋体"/>
                <w:sz w:val="24"/>
                <w:szCs w:val="24"/>
              </w:rPr>
              <w:t>支持教师创建班级、布置训练任务、查看学生训练进度及薄弱知识点分析</w:t>
            </w:r>
          </w:p>
        </w:tc>
      </w:tr>
    </w:tbl>
    <w:p w14:paraId="4DF89366">
      <w:pPr>
        <w:pStyle w:val="4"/>
        <w:keepNext w:val="0"/>
        <w:keepLines w:val="0"/>
        <w:widowControl/>
        <w:suppressLineNumbers w:val="0"/>
        <w:ind w:left="0" w:firstLine="0"/>
        <w:rPr>
          <w:rFonts w:hint="eastAsia" w:ascii="宋体" w:hAnsi="宋体" w:eastAsia="宋体" w:cs="宋体"/>
          <w:sz w:val="24"/>
          <w:szCs w:val="24"/>
        </w:rPr>
      </w:pPr>
      <w:r>
        <w:rPr>
          <w:rFonts w:hint="eastAsia" w:ascii="宋体" w:hAnsi="宋体" w:eastAsia="宋体" w:cs="宋体"/>
          <w:sz w:val="24"/>
          <w:szCs w:val="24"/>
        </w:rPr>
        <w:t xml:space="preserve">（二）竞赛训练终端及配套设备 </w:t>
      </w:r>
    </w:p>
    <w:p w14:paraId="46161BB7">
      <w:pPr>
        <w:pStyle w:val="5"/>
        <w:keepNext w:val="0"/>
        <w:keepLines w:val="0"/>
        <w:widowControl/>
        <w:suppressLineNumbers w:val="0"/>
        <w:spacing w:before="0" w:beforeAutospacing="1" w:after="0" w:afterAutospacing="1"/>
        <w:ind w:left="0" w:right="0"/>
        <w:rPr>
          <w:rFonts w:hint="eastAsia" w:ascii="宋体" w:hAnsi="宋体" w:eastAsia="宋体" w:cs="宋体"/>
          <w:sz w:val="24"/>
          <w:szCs w:val="24"/>
        </w:rPr>
      </w:pPr>
      <w:r>
        <w:rPr>
          <w:rFonts w:hint="eastAsia" w:ascii="宋体" w:hAnsi="宋体" w:eastAsia="宋体" w:cs="宋体"/>
          <w:sz w:val="24"/>
          <w:szCs w:val="24"/>
        </w:rPr>
        <w:t>参考同类学校采购经验，竞赛专用器材须符合教育部白名单赛事及广东省、深圳市相关赛事的官方技术标准，能够直接用于赛前模拟训练及正式比赛。</w:t>
      </w:r>
    </w:p>
    <w:tbl>
      <w:tblPr>
        <w:tblStyle w:val="6"/>
        <w:tblW w:w="0" w:type="auto"/>
        <w:tblInd w:w="0" w:type="dxa"/>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3017"/>
        <w:gridCol w:w="5319"/>
      </w:tblGrid>
      <w:tr w14:paraId="7F6EAFDB">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shd w:val="clear" w:color="auto" w:fill="auto"/>
          <w:tblCellMar>
            <w:top w:w="15" w:type="dxa"/>
            <w:left w:w="15" w:type="dxa"/>
            <w:bottom w:w="15" w:type="dxa"/>
            <w:right w:w="15" w:type="dxa"/>
          </w:tblCellMar>
        </w:tblPrEx>
        <w:tc>
          <w:tcPr>
            <w:tcW w:w="4127" w:type="dxa"/>
            <w:tcBorders>
              <w:top w:val="single" w:color="auto" w:sz="4" w:space="0"/>
              <w:left w:val="single" w:color="auto" w:sz="4" w:space="0"/>
              <w:bottom w:val="single" w:color="auto" w:sz="4" w:space="0"/>
              <w:right w:val="single" w:color="auto" w:sz="4" w:space="0"/>
            </w:tcBorders>
            <w:shd w:val="clear" w:color="auto" w:fill="auto"/>
            <w:vAlign w:val="top"/>
          </w:tcPr>
          <w:p w14:paraId="0A9F63EF">
            <w:pPr>
              <w:pStyle w:val="5"/>
              <w:keepNext w:val="0"/>
              <w:keepLines w:val="0"/>
              <w:widowControl/>
              <w:suppressLineNumbers w:val="0"/>
              <w:spacing w:before="0" w:beforeAutospacing="0" w:after="0" w:afterAutospacing="0"/>
              <w:ind w:left="0" w:right="0"/>
              <w:jc w:val="left"/>
              <w:rPr>
                <w:rFonts w:hint="eastAsia" w:ascii="宋体" w:hAnsi="宋体" w:eastAsia="宋体" w:cs="宋体"/>
                <w:sz w:val="24"/>
                <w:szCs w:val="24"/>
              </w:rPr>
            </w:pPr>
            <w:r>
              <w:rPr>
                <w:rStyle w:val="8"/>
                <w:rFonts w:hint="eastAsia" w:ascii="宋体" w:hAnsi="宋体" w:eastAsia="宋体" w:cs="宋体"/>
                <w:b/>
                <w:bCs/>
                <w:sz w:val="24"/>
                <w:szCs w:val="24"/>
              </w:rPr>
              <w:t>配置项</w:t>
            </w:r>
          </w:p>
        </w:tc>
        <w:tc>
          <w:tcPr>
            <w:tcW w:w="6973" w:type="dxa"/>
            <w:tcBorders>
              <w:top w:val="single" w:color="auto" w:sz="4" w:space="0"/>
              <w:left w:val="single" w:color="auto" w:sz="4" w:space="0"/>
              <w:bottom w:val="single" w:color="auto" w:sz="4" w:space="0"/>
              <w:right w:val="single" w:color="auto" w:sz="4" w:space="0"/>
            </w:tcBorders>
            <w:shd w:val="clear" w:color="auto" w:fill="auto"/>
            <w:vAlign w:val="top"/>
          </w:tcPr>
          <w:p w14:paraId="53CB0E51">
            <w:pPr>
              <w:pStyle w:val="5"/>
              <w:keepNext w:val="0"/>
              <w:keepLines w:val="0"/>
              <w:widowControl/>
              <w:suppressLineNumbers w:val="0"/>
              <w:spacing w:before="0" w:beforeAutospacing="0" w:after="0" w:afterAutospacing="0"/>
              <w:ind w:left="0" w:right="0"/>
              <w:jc w:val="left"/>
              <w:rPr>
                <w:rFonts w:hint="eastAsia" w:ascii="宋体" w:hAnsi="宋体" w:eastAsia="宋体" w:cs="宋体"/>
                <w:sz w:val="24"/>
                <w:szCs w:val="24"/>
              </w:rPr>
            </w:pPr>
            <w:r>
              <w:rPr>
                <w:rStyle w:val="8"/>
                <w:rFonts w:hint="eastAsia" w:ascii="宋体" w:hAnsi="宋体" w:eastAsia="宋体" w:cs="宋体"/>
                <w:b/>
                <w:bCs/>
                <w:sz w:val="24"/>
                <w:szCs w:val="24"/>
              </w:rPr>
              <w:t>技术规格要求</w:t>
            </w:r>
          </w:p>
        </w:tc>
      </w:tr>
      <w:tr w14:paraId="4F5DBCA7">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15" w:type="dxa"/>
            <w:left w:w="15" w:type="dxa"/>
            <w:bottom w:w="15" w:type="dxa"/>
            <w:right w:w="15" w:type="dxa"/>
          </w:tblCellMar>
        </w:tblPrEx>
        <w:tc>
          <w:tcPr>
            <w:tcW w:w="4127" w:type="dxa"/>
            <w:tcBorders>
              <w:top w:val="single" w:color="auto" w:sz="4" w:space="0"/>
              <w:left w:val="single" w:color="auto" w:sz="4" w:space="0"/>
              <w:bottom w:val="single" w:color="auto" w:sz="4" w:space="0"/>
              <w:right w:val="single" w:color="auto" w:sz="4" w:space="0"/>
            </w:tcBorders>
            <w:shd w:val="clear" w:color="auto" w:fill="auto"/>
            <w:vAlign w:val="top"/>
          </w:tcPr>
          <w:p w14:paraId="28BEA8D8">
            <w:pPr>
              <w:pStyle w:val="5"/>
              <w:keepNext w:val="0"/>
              <w:keepLines w:val="0"/>
              <w:widowControl/>
              <w:suppressLineNumbers w:val="0"/>
              <w:spacing w:before="0" w:beforeAutospacing="0" w:after="0" w:afterAutospacing="0"/>
              <w:ind w:left="0" w:right="0"/>
              <w:jc w:val="left"/>
              <w:rPr>
                <w:rFonts w:hint="eastAsia" w:ascii="宋体" w:hAnsi="宋体" w:eastAsia="宋体" w:cs="宋体"/>
                <w:sz w:val="24"/>
                <w:szCs w:val="24"/>
              </w:rPr>
            </w:pPr>
            <w:r>
              <w:rPr>
                <w:rFonts w:hint="eastAsia" w:ascii="宋体" w:hAnsi="宋体" w:eastAsia="宋体" w:cs="宋体"/>
                <w:sz w:val="24"/>
                <w:szCs w:val="24"/>
              </w:rPr>
              <w:t>竞赛专用编程终端</w:t>
            </w:r>
          </w:p>
        </w:tc>
        <w:tc>
          <w:tcPr>
            <w:tcW w:w="6973" w:type="dxa"/>
            <w:tcBorders>
              <w:top w:val="single" w:color="auto" w:sz="4" w:space="0"/>
              <w:left w:val="single" w:color="auto" w:sz="4" w:space="0"/>
              <w:bottom w:val="single" w:color="auto" w:sz="4" w:space="0"/>
              <w:right w:val="single" w:color="auto" w:sz="4" w:space="0"/>
            </w:tcBorders>
            <w:shd w:val="clear" w:color="auto" w:fill="auto"/>
            <w:vAlign w:val="top"/>
          </w:tcPr>
          <w:p w14:paraId="75B88FF5">
            <w:pPr>
              <w:pStyle w:val="5"/>
              <w:keepNext w:val="0"/>
              <w:keepLines w:val="0"/>
              <w:widowControl/>
              <w:suppressLineNumbers w:val="0"/>
              <w:spacing w:before="0" w:beforeAutospacing="0" w:after="0" w:afterAutospacing="0"/>
              <w:ind w:left="0" w:right="0"/>
              <w:jc w:val="left"/>
              <w:rPr>
                <w:rFonts w:hint="eastAsia" w:ascii="宋体" w:hAnsi="宋体" w:eastAsia="宋体" w:cs="宋体"/>
                <w:sz w:val="24"/>
                <w:szCs w:val="24"/>
              </w:rPr>
            </w:pPr>
            <w:r>
              <w:rPr>
                <w:rFonts w:hint="eastAsia" w:ascii="宋体" w:hAnsi="宋体" w:eastAsia="宋体" w:cs="宋体"/>
                <w:sz w:val="24"/>
                <w:szCs w:val="24"/>
              </w:rPr>
              <w:t>支持</w:t>
            </w:r>
            <w:r>
              <w:rPr>
                <w:rFonts w:hint="eastAsia" w:ascii="宋体" w:hAnsi="宋体" w:eastAsia="宋体" w:cs="宋体"/>
                <w:sz w:val="24"/>
                <w:szCs w:val="24"/>
                <w:lang w:val="en-US" w:eastAsia="zh-CN"/>
              </w:rPr>
              <w:t>图形化、</w:t>
            </w:r>
            <w:r>
              <w:rPr>
                <w:rFonts w:hint="eastAsia" w:ascii="宋体" w:hAnsi="宋体" w:eastAsia="宋体" w:cs="宋体"/>
                <w:sz w:val="24"/>
                <w:szCs w:val="24"/>
              </w:rPr>
              <w:t>Python/C++编程环境，配置不低于主流赛事平台推荐标准</w:t>
            </w:r>
          </w:p>
        </w:tc>
      </w:tr>
      <w:tr w14:paraId="29C0AF37">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15" w:type="dxa"/>
            <w:left w:w="15" w:type="dxa"/>
            <w:bottom w:w="15" w:type="dxa"/>
            <w:right w:w="15" w:type="dxa"/>
          </w:tblCellMar>
        </w:tblPrEx>
        <w:tc>
          <w:tcPr>
            <w:tcW w:w="4127" w:type="dxa"/>
            <w:tcBorders>
              <w:top w:val="single" w:color="auto" w:sz="4" w:space="0"/>
              <w:left w:val="single" w:color="auto" w:sz="4" w:space="0"/>
              <w:bottom w:val="single" w:color="auto" w:sz="4" w:space="0"/>
              <w:right w:val="single" w:color="auto" w:sz="4" w:space="0"/>
            </w:tcBorders>
            <w:shd w:val="clear" w:color="auto" w:fill="auto"/>
            <w:vAlign w:val="top"/>
          </w:tcPr>
          <w:p w14:paraId="2A0951C8">
            <w:pPr>
              <w:pStyle w:val="5"/>
              <w:keepNext w:val="0"/>
              <w:keepLines w:val="0"/>
              <w:widowControl/>
              <w:suppressLineNumbers w:val="0"/>
              <w:spacing w:before="0" w:beforeAutospacing="0" w:after="0" w:afterAutospacing="0"/>
              <w:ind w:left="0" w:right="0"/>
              <w:jc w:val="left"/>
              <w:rPr>
                <w:rFonts w:hint="eastAsia" w:ascii="宋体" w:hAnsi="宋体" w:eastAsia="宋体" w:cs="宋体"/>
                <w:sz w:val="24"/>
                <w:szCs w:val="24"/>
              </w:rPr>
            </w:pPr>
            <w:r>
              <w:rPr>
                <w:rFonts w:hint="eastAsia" w:ascii="宋体" w:hAnsi="宋体" w:eastAsia="宋体" w:cs="宋体"/>
                <w:sz w:val="24"/>
                <w:szCs w:val="24"/>
              </w:rPr>
              <w:t>人工智能编程主控</w:t>
            </w:r>
          </w:p>
        </w:tc>
        <w:tc>
          <w:tcPr>
            <w:tcW w:w="6973" w:type="dxa"/>
            <w:tcBorders>
              <w:top w:val="single" w:color="auto" w:sz="4" w:space="0"/>
              <w:left w:val="single" w:color="auto" w:sz="4" w:space="0"/>
              <w:bottom w:val="single" w:color="auto" w:sz="4" w:space="0"/>
              <w:right w:val="single" w:color="auto" w:sz="4" w:space="0"/>
            </w:tcBorders>
            <w:shd w:val="clear" w:color="auto" w:fill="auto"/>
            <w:vAlign w:val="top"/>
          </w:tcPr>
          <w:p w14:paraId="64178523">
            <w:pPr>
              <w:pStyle w:val="5"/>
              <w:keepNext w:val="0"/>
              <w:keepLines w:val="0"/>
              <w:widowControl/>
              <w:suppressLineNumbers w:val="0"/>
              <w:spacing w:before="0" w:beforeAutospacing="0" w:after="0" w:afterAutospacing="0"/>
              <w:ind w:left="0" w:right="0"/>
              <w:jc w:val="left"/>
              <w:rPr>
                <w:rFonts w:hint="eastAsia" w:ascii="宋体" w:hAnsi="宋体" w:eastAsia="宋体" w:cs="宋体"/>
                <w:sz w:val="24"/>
                <w:szCs w:val="24"/>
              </w:rPr>
            </w:pPr>
            <w:r>
              <w:rPr>
                <w:rFonts w:hint="eastAsia" w:ascii="宋体" w:hAnsi="宋体" w:eastAsia="宋体" w:cs="宋体"/>
                <w:sz w:val="24"/>
                <w:szCs w:val="24"/>
              </w:rPr>
              <w:t>支持AI视觉、语音识别等模块扩展，兼容主流赛事平台</w:t>
            </w:r>
          </w:p>
        </w:tc>
      </w:tr>
      <w:tr w14:paraId="094CC5F9">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shd w:val="clear" w:color="auto" w:fill="auto"/>
          <w:tblCellMar>
            <w:top w:w="15" w:type="dxa"/>
            <w:left w:w="15" w:type="dxa"/>
            <w:bottom w:w="15" w:type="dxa"/>
            <w:right w:w="15" w:type="dxa"/>
          </w:tblCellMar>
        </w:tblPrEx>
        <w:tc>
          <w:tcPr>
            <w:tcW w:w="4127" w:type="dxa"/>
            <w:tcBorders>
              <w:top w:val="single" w:color="auto" w:sz="4" w:space="0"/>
              <w:left w:val="single" w:color="auto" w:sz="4" w:space="0"/>
              <w:bottom w:val="single" w:color="auto" w:sz="4" w:space="0"/>
              <w:right w:val="single" w:color="auto" w:sz="4" w:space="0"/>
            </w:tcBorders>
            <w:shd w:val="clear" w:color="auto" w:fill="auto"/>
            <w:vAlign w:val="top"/>
          </w:tcPr>
          <w:p w14:paraId="59823D1B">
            <w:pPr>
              <w:pStyle w:val="5"/>
              <w:keepNext w:val="0"/>
              <w:keepLines w:val="0"/>
              <w:widowControl/>
              <w:suppressLineNumbers w:val="0"/>
              <w:spacing w:before="0" w:beforeAutospacing="0" w:after="0" w:afterAutospacing="0"/>
              <w:ind w:left="0" w:right="0"/>
              <w:jc w:val="left"/>
              <w:rPr>
                <w:rFonts w:hint="eastAsia" w:ascii="宋体" w:hAnsi="宋体" w:eastAsia="宋体" w:cs="宋体"/>
                <w:sz w:val="24"/>
                <w:szCs w:val="24"/>
              </w:rPr>
            </w:pPr>
            <w:r>
              <w:rPr>
                <w:rFonts w:hint="eastAsia" w:ascii="宋体" w:hAnsi="宋体" w:eastAsia="宋体" w:cs="宋体"/>
                <w:sz w:val="24"/>
                <w:szCs w:val="24"/>
              </w:rPr>
              <w:t>AI摄像头模块</w:t>
            </w:r>
          </w:p>
        </w:tc>
        <w:tc>
          <w:tcPr>
            <w:tcW w:w="6973" w:type="dxa"/>
            <w:tcBorders>
              <w:top w:val="single" w:color="auto" w:sz="4" w:space="0"/>
              <w:left w:val="single" w:color="auto" w:sz="4" w:space="0"/>
              <w:bottom w:val="single" w:color="auto" w:sz="4" w:space="0"/>
              <w:right w:val="single" w:color="auto" w:sz="4" w:space="0"/>
            </w:tcBorders>
            <w:shd w:val="clear" w:color="auto" w:fill="auto"/>
            <w:vAlign w:val="top"/>
          </w:tcPr>
          <w:p w14:paraId="16CBDA9C">
            <w:pPr>
              <w:pStyle w:val="5"/>
              <w:keepNext w:val="0"/>
              <w:keepLines w:val="0"/>
              <w:widowControl/>
              <w:suppressLineNumbers w:val="0"/>
              <w:spacing w:before="0" w:beforeAutospacing="0" w:after="0" w:afterAutospacing="0"/>
              <w:ind w:left="0" w:right="0"/>
              <w:jc w:val="left"/>
              <w:rPr>
                <w:rFonts w:hint="eastAsia" w:ascii="宋体" w:hAnsi="宋体" w:eastAsia="宋体" w:cs="宋体"/>
                <w:sz w:val="24"/>
                <w:szCs w:val="24"/>
              </w:rPr>
            </w:pPr>
            <w:r>
              <w:rPr>
                <w:rFonts w:hint="eastAsia" w:ascii="宋体" w:hAnsi="宋体" w:eastAsia="宋体" w:cs="宋体"/>
                <w:sz w:val="24"/>
                <w:szCs w:val="24"/>
              </w:rPr>
              <w:t>支持图像识别、颜色识别、二维码识别等功能</w:t>
            </w:r>
          </w:p>
        </w:tc>
      </w:tr>
      <w:tr w14:paraId="7904E580">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shd w:val="clear" w:color="auto" w:fill="auto"/>
          <w:tblCellMar>
            <w:top w:w="15" w:type="dxa"/>
            <w:left w:w="15" w:type="dxa"/>
            <w:bottom w:w="15" w:type="dxa"/>
            <w:right w:w="15" w:type="dxa"/>
          </w:tblCellMar>
        </w:tblPrEx>
        <w:tc>
          <w:tcPr>
            <w:tcW w:w="4127" w:type="dxa"/>
            <w:tcBorders>
              <w:top w:val="single" w:color="auto" w:sz="4" w:space="0"/>
              <w:left w:val="single" w:color="auto" w:sz="4" w:space="0"/>
              <w:bottom w:val="single" w:color="auto" w:sz="4" w:space="0"/>
              <w:right w:val="single" w:color="auto" w:sz="4" w:space="0"/>
            </w:tcBorders>
            <w:shd w:val="clear" w:color="auto" w:fill="auto"/>
            <w:vAlign w:val="top"/>
          </w:tcPr>
          <w:p w14:paraId="7A66D4E9">
            <w:pPr>
              <w:pStyle w:val="5"/>
              <w:keepNext w:val="0"/>
              <w:keepLines w:val="0"/>
              <w:widowControl/>
              <w:suppressLineNumbers w:val="0"/>
              <w:spacing w:before="0" w:beforeAutospacing="0" w:after="0" w:afterAutospacing="0"/>
              <w:ind w:left="0" w:right="0"/>
              <w:jc w:val="left"/>
              <w:rPr>
                <w:rFonts w:hint="eastAsia" w:ascii="宋体" w:hAnsi="宋体" w:eastAsia="宋体" w:cs="宋体"/>
                <w:sz w:val="24"/>
                <w:szCs w:val="24"/>
              </w:rPr>
            </w:pPr>
            <w:r>
              <w:rPr>
                <w:rFonts w:hint="eastAsia" w:ascii="宋体" w:hAnsi="宋体" w:eastAsia="宋体" w:cs="宋体"/>
                <w:sz w:val="24"/>
                <w:szCs w:val="24"/>
              </w:rPr>
              <w:t>传感器套件</w:t>
            </w:r>
          </w:p>
        </w:tc>
        <w:tc>
          <w:tcPr>
            <w:tcW w:w="6973" w:type="dxa"/>
            <w:tcBorders>
              <w:top w:val="single" w:color="auto" w:sz="4" w:space="0"/>
              <w:left w:val="single" w:color="auto" w:sz="4" w:space="0"/>
              <w:bottom w:val="single" w:color="auto" w:sz="4" w:space="0"/>
              <w:right w:val="single" w:color="auto" w:sz="4" w:space="0"/>
            </w:tcBorders>
            <w:shd w:val="clear" w:color="auto" w:fill="auto"/>
            <w:vAlign w:val="top"/>
          </w:tcPr>
          <w:p w14:paraId="15CC72FE">
            <w:pPr>
              <w:pStyle w:val="5"/>
              <w:keepNext w:val="0"/>
              <w:keepLines w:val="0"/>
              <w:widowControl/>
              <w:suppressLineNumbers w:val="0"/>
              <w:spacing w:before="0" w:beforeAutospacing="0" w:after="0" w:afterAutospacing="0"/>
              <w:ind w:left="0" w:right="0"/>
              <w:jc w:val="left"/>
              <w:rPr>
                <w:rFonts w:hint="eastAsia" w:ascii="宋体" w:hAnsi="宋体" w:eastAsia="宋体" w:cs="宋体"/>
                <w:sz w:val="24"/>
                <w:szCs w:val="24"/>
              </w:rPr>
            </w:pPr>
            <w:r>
              <w:rPr>
                <w:rFonts w:hint="eastAsia" w:ascii="宋体" w:hAnsi="宋体" w:eastAsia="宋体" w:cs="宋体"/>
                <w:sz w:val="24"/>
                <w:szCs w:val="24"/>
              </w:rPr>
              <w:t>含超声波、红外、光线、温湿度等常用传感器</w:t>
            </w:r>
          </w:p>
        </w:tc>
      </w:tr>
      <w:tr w14:paraId="282E696B">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shd w:val="clear" w:color="auto" w:fill="auto"/>
          <w:tblCellMar>
            <w:top w:w="15" w:type="dxa"/>
            <w:left w:w="15" w:type="dxa"/>
            <w:bottom w:w="15" w:type="dxa"/>
            <w:right w:w="15" w:type="dxa"/>
          </w:tblCellMar>
        </w:tblPrEx>
        <w:tc>
          <w:tcPr>
            <w:tcW w:w="4127" w:type="dxa"/>
            <w:tcBorders>
              <w:top w:val="single" w:color="auto" w:sz="4" w:space="0"/>
              <w:left w:val="single" w:color="auto" w:sz="4" w:space="0"/>
              <w:bottom w:val="single" w:color="auto" w:sz="4" w:space="0"/>
              <w:right w:val="single" w:color="auto" w:sz="4" w:space="0"/>
            </w:tcBorders>
            <w:shd w:val="clear" w:color="auto" w:fill="auto"/>
            <w:vAlign w:val="top"/>
          </w:tcPr>
          <w:p w14:paraId="3DF20373">
            <w:pPr>
              <w:pStyle w:val="5"/>
              <w:keepNext w:val="0"/>
              <w:keepLines w:val="0"/>
              <w:widowControl/>
              <w:suppressLineNumbers w:val="0"/>
              <w:spacing w:before="0" w:beforeAutospacing="0" w:after="0" w:afterAutospacing="0"/>
              <w:ind w:left="0" w:right="0"/>
              <w:jc w:val="left"/>
              <w:rPr>
                <w:rFonts w:hint="eastAsia" w:ascii="宋体" w:hAnsi="宋体" w:eastAsia="宋体" w:cs="宋体"/>
                <w:sz w:val="24"/>
                <w:szCs w:val="24"/>
              </w:rPr>
            </w:pPr>
            <w:r>
              <w:rPr>
                <w:rFonts w:hint="eastAsia" w:ascii="宋体" w:hAnsi="宋体" w:eastAsia="宋体" w:cs="宋体"/>
                <w:sz w:val="24"/>
                <w:szCs w:val="24"/>
              </w:rPr>
              <w:t>执行机构</w:t>
            </w:r>
          </w:p>
        </w:tc>
        <w:tc>
          <w:tcPr>
            <w:tcW w:w="6973" w:type="dxa"/>
            <w:tcBorders>
              <w:top w:val="single" w:color="auto" w:sz="4" w:space="0"/>
              <w:left w:val="single" w:color="auto" w:sz="4" w:space="0"/>
              <w:bottom w:val="single" w:color="auto" w:sz="4" w:space="0"/>
              <w:right w:val="single" w:color="auto" w:sz="4" w:space="0"/>
            </w:tcBorders>
            <w:shd w:val="clear" w:color="auto" w:fill="auto"/>
            <w:vAlign w:val="top"/>
          </w:tcPr>
          <w:p w14:paraId="3BBDEFAC">
            <w:pPr>
              <w:pStyle w:val="5"/>
              <w:keepNext w:val="0"/>
              <w:keepLines w:val="0"/>
              <w:widowControl/>
              <w:suppressLineNumbers w:val="0"/>
              <w:spacing w:before="0" w:beforeAutospacing="0" w:after="0" w:afterAutospacing="0"/>
              <w:ind w:left="0" w:right="0"/>
              <w:jc w:val="left"/>
              <w:rPr>
                <w:rFonts w:hint="eastAsia" w:ascii="宋体" w:hAnsi="宋体" w:eastAsia="宋体" w:cs="宋体"/>
                <w:sz w:val="24"/>
                <w:szCs w:val="24"/>
              </w:rPr>
            </w:pPr>
            <w:r>
              <w:rPr>
                <w:rFonts w:hint="eastAsia" w:ascii="宋体" w:hAnsi="宋体" w:eastAsia="宋体" w:cs="宋体"/>
                <w:sz w:val="24"/>
                <w:szCs w:val="24"/>
              </w:rPr>
              <w:t>舵机、电机等配套执行器</w:t>
            </w:r>
          </w:p>
        </w:tc>
      </w:tr>
    </w:tbl>
    <w:p w14:paraId="40AD1B3B">
      <w:pPr>
        <w:pStyle w:val="4"/>
        <w:keepNext w:val="0"/>
        <w:keepLines w:val="0"/>
        <w:widowControl/>
        <w:suppressLineNumbers w:val="0"/>
        <w:ind w:left="0" w:firstLine="0"/>
        <w:rPr>
          <w:rFonts w:hint="eastAsia" w:ascii="宋体" w:hAnsi="宋体" w:eastAsia="宋体" w:cs="宋体"/>
          <w:sz w:val="24"/>
          <w:szCs w:val="24"/>
        </w:rPr>
      </w:pPr>
      <w:r>
        <w:rPr>
          <w:rFonts w:hint="eastAsia" w:ascii="宋体" w:hAnsi="宋体" w:eastAsia="宋体" w:cs="宋体"/>
          <w:sz w:val="24"/>
          <w:szCs w:val="24"/>
        </w:rPr>
        <w:t>（三）配套课程资源与服务要求</w:t>
      </w:r>
    </w:p>
    <w:p w14:paraId="666CB037">
      <w:pPr>
        <w:keepNext w:val="0"/>
        <w:keepLines w:val="0"/>
        <w:widowControl/>
        <w:numPr>
          <w:ilvl w:val="0"/>
          <w:numId w:val="1"/>
        </w:numPr>
        <w:suppressLineNumbers w:val="0"/>
        <w:spacing w:before="0" w:beforeAutospacing="1" w:after="0" w:afterAutospacing="1"/>
        <w:ind w:left="720" w:hanging="294"/>
        <w:rPr>
          <w:rFonts w:hint="eastAsia" w:ascii="宋体" w:hAnsi="宋体" w:eastAsia="宋体" w:cs="宋体"/>
          <w:sz w:val="24"/>
          <w:szCs w:val="24"/>
        </w:rPr>
      </w:pPr>
      <w:r>
        <w:rPr>
          <w:rStyle w:val="8"/>
          <w:rFonts w:hint="eastAsia" w:ascii="宋体" w:hAnsi="宋体" w:eastAsia="宋体" w:cs="宋体"/>
          <w:b/>
          <w:bCs/>
          <w:sz w:val="24"/>
          <w:szCs w:val="24"/>
        </w:rPr>
        <w:t>课程资源包</w:t>
      </w:r>
      <w:r>
        <w:rPr>
          <w:rFonts w:hint="eastAsia" w:ascii="宋体" w:hAnsi="宋体" w:eastAsia="宋体" w:cs="宋体"/>
          <w:sz w:val="24"/>
          <w:szCs w:val="24"/>
        </w:rPr>
        <w:t>：提供不少于</w:t>
      </w:r>
      <w:r>
        <w:rPr>
          <w:rStyle w:val="8"/>
          <w:rFonts w:hint="eastAsia" w:ascii="宋体" w:hAnsi="宋体" w:eastAsia="宋体" w:cs="宋体"/>
          <w:b/>
          <w:bCs/>
          <w:sz w:val="24"/>
          <w:szCs w:val="24"/>
        </w:rPr>
        <w:t>17课时</w:t>
      </w:r>
      <w:r>
        <w:rPr>
          <w:rFonts w:hint="eastAsia" w:ascii="宋体" w:hAnsi="宋体" w:eastAsia="宋体" w:cs="宋体"/>
          <w:sz w:val="24"/>
          <w:szCs w:val="24"/>
        </w:rPr>
        <w:t>的AI编程白名单赛事训练课程体系，含：</w:t>
      </w:r>
    </w:p>
    <w:p w14:paraId="2EB00A36">
      <w:pPr>
        <w:keepNext w:val="0"/>
        <w:keepLines w:val="0"/>
        <w:widowControl/>
        <w:numPr>
          <w:ilvl w:val="1"/>
          <w:numId w:val="1"/>
        </w:numPr>
        <w:suppressLineNumbers w:val="0"/>
        <w:spacing w:before="0" w:beforeAutospacing="1" w:after="0" w:afterAutospacing="1"/>
        <w:ind w:left="1440" w:hanging="294"/>
        <w:rPr>
          <w:rFonts w:hint="eastAsia" w:ascii="宋体" w:hAnsi="宋体" w:eastAsia="宋体" w:cs="宋体"/>
          <w:sz w:val="24"/>
          <w:szCs w:val="24"/>
        </w:rPr>
      </w:pPr>
      <w:r>
        <w:rPr>
          <w:rFonts w:hint="eastAsia" w:ascii="宋体" w:hAnsi="宋体" w:eastAsia="宋体" w:cs="宋体"/>
          <w:sz w:val="24"/>
          <w:szCs w:val="24"/>
        </w:rPr>
        <w:t>课程大纲及配套教学资料（PPT课件、教案、示例代码）</w:t>
      </w:r>
    </w:p>
    <w:p w14:paraId="67F8B8B1">
      <w:pPr>
        <w:keepNext w:val="0"/>
        <w:keepLines w:val="0"/>
        <w:widowControl/>
        <w:numPr>
          <w:ilvl w:val="1"/>
          <w:numId w:val="1"/>
        </w:numPr>
        <w:suppressLineNumbers w:val="0"/>
        <w:spacing w:before="0" w:beforeAutospacing="1" w:after="0" w:afterAutospacing="1"/>
        <w:ind w:left="1440" w:hanging="294"/>
        <w:rPr>
          <w:rFonts w:hint="eastAsia" w:ascii="宋体" w:hAnsi="宋体" w:eastAsia="宋体" w:cs="宋体"/>
          <w:sz w:val="24"/>
          <w:szCs w:val="24"/>
        </w:rPr>
      </w:pPr>
      <w:r>
        <w:rPr>
          <w:rFonts w:hint="eastAsia" w:ascii="宋体" w:hAnsi="宋体" w:eastAsia="宋体" w:cs="宋体"/>
          <w:sz w:val="24"/>
          <w:szCs w:val="24"/>
        </w:rPr>
        <w:t>白名单赛事历年真题解析及模拟赛题资源</w:t>
      </w:r>
    </w:p>
    <w:p w14:paraId="07994964">
      <w:pPr>
        <w:keepNext w:val="0"/>
        <w:keepLines w:val="0"/>
        <w:widowControl/>
        <w:numPr>
          <w:ilvl w:val="1"/>
          <w:numId w:val="1"/>
        </w:numPr>
        <w:suppressLineNumbers w:val="0"/>
        <w:spacing w:before="0" w:beforeAutospacing="1" w:after="0" w:afterAutospacing="1"/>
        <w:ind w:left="1440" w:hanging="294"/>
        <w:rPr>
          <w:rFonts w:hint="eastAsia" w:ascii="宋体" w:hAnsi="宋体" w:eastAsia="宋体" w:cs="宋体"/>
          <w:sz w:val="24"/>
          <w:szCs w:val="24"/>
        </w:rPr>
      </w:pPr>
      <w:r>
        <w:rPr>
          <w:rFonts w:hint="eastAsia" w:ascii="宋体" w:hAnsi="宋体" w:eastAsia="宋体" w:cs="宋体"/>
          <w:sz w:val="24"/>
          <w:szCs w:val="24"/>
        </w:rPr>
        <w:t>专项训练模块，涵盖算法思维、数据结构等核心知识点</w:t>
      </w:r>
    </w:p>
    <w:p w14:paraId="3AA2FAF7">
      <w:pPr>
        <w:keepNext w:val="0"/>
        <w:keepLines w:val="0"/>
        <w:widowControl/>
        <w:numPr>
          <w:ilvl w:val="1"/>
          <w:numId w:val="1"/>
        </w:numPr>
        <w:suppressLineNumbers w:val="0"/>
        <w:spacing w:before="0" w:beforeAutospacing="1" w:after="0" w:afterAutospacing="1"/>
        <w:ind w:left="1440" w:hanging="294"/>
        <w:rPr>
          <w:rFonts w:hint="eastAsia" w:ascii="宋体" w:hAnsi="宋体" w:eastAsia="宋体" w:cs="宋体"/>
          <w:sz w:val="24"/>
          <w:szCs w:val="24"/>
        </w:rPr>
      </w:pPr>
      <w:r>
        <w:rPr>
          <w:rFonts w:hint="eastAsia" w:ascii="宋体" w:hAnsi="宋体" w:eastAsia="宋体" w:cs="宋体"/>
          <w:sz w:val="24"/>
          <w:szCs w:val="24"/>
        </w:rPr>
        <w:t>难度适合初中生认知水平，对接相关教材内容</w:t>
      </w:r>
    </w:p>
    <w:p w14:paraId="72E128E6">
      <w:pPr>
        <w:keepNext w:val="0"/>
        <w:keepLines w:val="0"/>
        <w:widowControl/>
        <w:numPr>
          <w:ilvl w:val="0"/>
          <w:numId w:val="1"/>
        </w:numPr>
        <w:suppressLineNumbers w:val="0"/>
        <w:spacing w:before="0" w:beforeAutospacing="1" w:after="0" w:afterAutospacing="1"/>
        <w:ind w:left="720" w:hanging="294"/>
        <w:rPr>
          <w:rFonts w:hint="eastAsia" w:ascii="宋体" w:hAnsi="宋体" w:eastAsia="宋体" w:cs="宋体"/>
          <w:sz w:val="24"/>
          <w:szCs w:val="24"/>
        </w:rPr>
      </w:pPr>
      <w:r>
        <w:rPr>
          <w:rStyle w:val="8"/>
          <w:rFonts w:hint="eastAsia" w:ascii="宋体" w:hAnsi="宋体" w:eastAsia="宋体" w:cs="宋体"/>
          <w:b/>
          <w:bCs/>
          <w:sz w:val="24"/>
          <w:szCs w:val="24"/>
        </w:rPr>
        <w:t>师资培训服务</w:t>
      </w:r>
      <w:r>
        <w:rPr>
          <w:rFonts w:hint="eastAsia" w:ascii="宋体" w:hAnsi="宋体" w:eastAsia="宋体" w:cs="宋体"/>
          <w:sz w:val="24"/>
          <w:szCs w:val="24"/>
        </w:rPr>
        <w:t>：提供不少于</w:t>
      </w:r>
      <w:r>
        <w:rPr>
          <w:rStyle w:val="8"/>
          <w:rFonts w:hint="eastAsia" w:ascii="宋体" w:hAnsi="宋体" w:eastAsia="宋体" w:cs="宋体"/>
          <w:b/>
          <w:bCs/>
          <w:sz w:val="24"/>
          <w:szCs w:val="24"/>
        </w:rPr>
        <w:t>2天</w:t>
      </w:r>
      <w:r>
        <w:rPr>
          <w:rFonts w:hint="eastAsia" w:ascii="宋体" w:hAnsi="宋体" w:eastAsia="宋体" w:cs="宋体"/>
          <w:sz w:val="24"/>
          <w:szCs w:val="24"/>
        </w:rPr>
        <w:t>的系统培训，含设备操作与维护、赛事规则解读、赛前辅导策略、裁判规则解析等内容，确保专任教师能独立开展日常教学及赛前辅导</w:t>
      </w:r>
    </w:p>
    <w:p w14:paraId="0EDAA057">
      <w:pPr>
        <w:keepNext w:val="0"/>
        <w:keepLines w:val="0"/>
        <w:widowControl/>
        <w:numPr>
          <w:ilvl w:val="0"/>
          <w:numId w:val="1"/>
        </w:numPr>
        <w:suppressLineNumbers w:val="0"/>
        <w:spacing w:before="0" w:beforeAutospacing="1" w:after="0" w:afterAutospacing="1"/>
        <w:ind w:left="720" w:hanging="294"/>
        <w:rPr>
          <w:rFonts w:hint="eastAsia" w:ascii="宋体" w:hAnsi="宋体" w:eastAsia="宋体" w:cs="宋体"/>
          <w:sz w:val="24"/>
          <w:szCs w:val="24"/>
        </w:rPr>
      </w:pPr>
      <w:r>
        <w:rPr>
          <w:rStyle w:val="8"/>
          <w:rFonts w:hint="eastAsia" w:ascii="宋体" w:hAnsi="宋体" w:eastAsia="宋体" w:cs="宋体"/>
          <w:b/>
          <w:bCs/>
          <w:sz w:val="24"/>
          <w:szCs w:val="24"/>
        </w:rPr>
        <w:t>赛事指导服务</w:t>
      </w:r>
      <w:r>
        <w:rPr>
          <w:rFonts w:hint="eastAsia" w:ascii="宋体" w:hAnsi="宋体" w:eastAsia="宋体" w:cs="宋体"/>
          <w:sz w:val="24"/>
          <w:szCs w:val="24"/>
        </w:rPr>
        <w:t>：提供不少于1次白名单赛事参赛策略专项培训，包括赛项解读、备赛规划、往年优秀作品分析等</w:t>
      </w:r>
    </w:p>
    <w:p w14:paraId="1504B090">
      <w:pPr>
        <w:keepNext w:val="0"/>
        <w:keepLines w:val="0"/>
        <w:widowControl/>
        <w:numPr>
          <w:ilvl w:val="0"/>
          <w:numId w:val="1"/>
        </w:numPr>
        <w:suppressLineNumbers w:val="0"/>
        <w:spacing w:before="0" w:beforeAutospacing="1" w:after="0" w:afterAutospacing="1"/>
        <w:ind w:left="720" w:hanging="294"/>
        <w:rPr>
          <w:rFonts w:hint="eastAsia" w:ascii="宋体" w:hAnsi="宋体" w:eastAsia="宋体" w:cs="宋体"/>
          <w:sz w:val="24"/>
          <w:szCs w:val="24"/>
        </w:rPr>
      </w:pPr>
      <w:r>
        <w:rPr>
          <w:rStyle w:val="8"/>
          <w:rFonts w:hint="eastAsia" w:ascii="宋体" w:hAnsi="宋体" w:eastAsia="宋体" w:cs="宋体"/>
          <w:b/>
          <w:bCs/>
          <w:sz w:val="24"/>
          <w:szCs w:val="24"/>
        </w:rPr>
        <w:t>设备维保</w:t>
      </w:r>
      <w:r>
        <w:rPr>
          <w:rFonts w:hint="eastAsia" w:ascii="宋体" w:hAnsi="宋体" w:eastAsia="宋体" w:cs="宋体"/>
          <w:sz w:val="24"/>
          <w:szCs w:val="24"/>
        </w:rPr>
        <w:t>：提供不少于3年的硬件质保及软件免费升级服务，故障响应时间不超过48小时</w:t>
      </w:r>
    </w:p>
    <w:p w14:paraId="0DDE19F3">
      <w:pPr>
        <w:pStyle w:val="3"/>
        <w:keepNext w:val="0"/>
        <w:keepLines w:val="0"/>
        <w:widowControl/>
        <w:suppressLineNumbers w:val="0"/>
        <w:ind w:left="0" w:firstLine="0"/>
        <w:rPr>
          <w:rFonts w:hint="eastAsia" w:ascii="宋体" w:hAnsi="宋体" w:eastAsia="宋体" w:cs="宋体"/>
        </w:rPr>
      </w:pPr>
      <w:r>
        <w:rPr>
          <w:rFonts w:hint="eastAsia" w:ascii="宋体" w:hAnsi="宋体" w:eastAsia="宋体" w:cs="宋体"/>
        </w:rPr>
        <w:t>四、项目预算</w:t>
      </w:r>
    </w:p>
    <w:tbl>
      <w:tblPr>
        <w:tblStyle w:val="6"/>
        <w:tblW w:w="0" w:type="auto"/>
        <w:tblInd w:w="0" w:type="dxa"/>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2030"/>
        <w:gridCol w:w="2101"/>
        <w:gridCol w:w="2030"/>
        <w:gridCol w:w="2175"/>
      </w:tblGrid>
      <w:tr w14:paraId="6F58936D">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15" w:type="dxa"/>
            <w:left w:w="15" w:type="dxa"/>
            <w:bottom w:w="15" w:type="dxa"/>
            <w:right w:w="15" w:type="dxa"/>
          </w:tblCellMar>
        </w:tblPrEx>
        <w:tc>
          <w:tcPr>
            <w:tcW w:w="2775" w:type="dxa"/>
            <w:tcBorders>
              <w:top w:val="single" w:color="auto" w:sz="4" w:space="0"/>
              <w:left w:val="single" w:color="auto" w:sz="4" w:space="0"/>
              <w:bottom w:val="single" w:color="auto" w:sz="4" w:space="0"/>
              <w:right w:val="single" w:color="auto" w:sz="4" w:space="0"/>
            </w:tcBorders>
            <w:shd w:val="clear" w:color="auto" w:fill="auto"/>
            <w:vAlign w:val="top"/>
          </w:tcPr>
          <w:p w14:paraId="5A458CA0">
            <w:pPr>
              <w:pStyle w:val="5"/>
              <w:keepNext w:val="0"/>
              <w:keepLines w:val="0"/>
              <w:widowControl/>
              <w:suppressLineNumbers w:val="0"/>
              <w:spacing w:before="0" w:beforeAutospacing="0" w:after="0" w:afterAutospacing="0"/>
              <w:ind w:left="0" w:right="0"/>
              <w:jc w:val="center"/>
              <w:rPr>
                <w:rFonts w:hint="eastAsia" w:ascii="宋体" w:hAnsi="宋体" w:eastAsia="宋体" w:cs="宋体"/>
              </w:rPr>
            </w:pPr>
            <w:r>
              <w:rPr>
                <w:rStyle w:val="8"/>
                <w:rFonts w:hint="eastAsia" w:ascii="宋体" w:hAnsi="宋体" w:eastAsia="宋体" w:cs="宋体"/>
                <w:b/>
                <w:bCs/>
              </w:rPr>
              <w:t>序号</w:t>
            </w:r>
          </w:p>
        </w:tc>
        <w:tc>
          <w:tcPr>
            <w:tcW w:w="2775" w:type="dxa"/>
            <w:tcBorders>
              <w:top w:val="single" w:color="auto" w:sz="4" w:space="0"/>
              <w:left w:val="single" w:color="auto" w:sz="4" w:space="0"/>
              <w:bottom w:val="single" w:color="auto" w:sz="4" w:space="0"/>
              <w:right w:val="single" w:color="auto" w:sz="4" w:space="0"/>
            </w:tcBorders>
            <w:shd w:val="clear" w:color="auto" w:fill="auto"/>
            <w:vAlign w:val="top"/>
          </w:tcPr>
          <w:p w14:paraId="4BE29E76">
            <w:pPr>
              <w:pStyle w:val="5"/>
              <w:keepNext w:val="0"/>
              <w:keepLines w:val="0"/>
              <w:widowControl/>
              <w:suppressLineNumbers w:val="0"/>
              <w:spacing w:before="0" w:beforeAutospacing="0" w:after="0" w:afterAutospacing="0"/>
              <w:ind w:left="0" w:right="0"/>
              <w:jc w:val="center"/>
              <w:rPr>
                <w:rFonts w:hint="eastAsia" w:ascii="宋体" w:hAnsi="宋体" w:eastAsia="宋体" w:cs="宋体"/>
              </w:rPr>
            </w:pPr>
            <w:r>
              <w:rPr>
                <w:rStyle w:val="8"/>
                <w:rFonts w:hint="eastAsia" w:ascii="宋体" w:hAnsi="宋体" w:eastAsia="宋体" w:cs="宋体"/>
                <w:b/>
                <w:bCs/>
              </w:rPr>
              <w:t>采购内容</w:t>
            </w:r>
          </w:p>
        </w:tc>
        <w:tc>
          <w:tcPr>
            <w:tcW w:w="2775" w:type="dxa"/>
            <w:tcBorders>
              <w:top w:val="single" w:color="auto" w:sz="4" w:space="0"/>
              <w:left w:val="single" w:color="auto" w:sz="4" w:space="0"/>
              <w:bottom w:val="single" w:color="auto" w:sz="4" w:space="0"/>
              <w:right w:val="single" w:color="auto" w:sz="4" w:space="0"/>
            </w:tcBorders>
            <w:shd w:val="clear" w:color="auto" w:fill="auto"/>
            <w:vAlign w:val="top"/>
          </w:tcPr>
          <w:p w14:paraId="4318B6D7">
            <w:pPr>
              <w:pStyle w:val="5"/>
              <w:keepNext w:val="0"/>
              <w:keepLines w:val="0"/>
              <w:widowControl/>
              <w:suppressLineNumbers w:val="0"/>
              <w:spacing w:before="0" w:beforeAutospacing="0" w:after="0" w:afterAutospacing="0"/>
              <w:ind w:left="0" w:right="0"/>
              <w:jc w:val="center"/>
              <w:rPr>
                <w:rFonts w:hint="eastAsia" w:ascii="宋体" w:hAnsi="宋体" w:eastAsia="宋体" w:cs="宋体"/>
              </w:rPr>
            </w:pPr>
            <w:r>
              <w:rPr>
                <w:rStyle w:val="8"/>
                <w:rFonts w:hint="eastAsia" w:ascii="宋体" w:hAnsi="宋体" w:eastAsia="宋体" w:cs="宋体"/>
                <w:b/>
                <w:bCs/>
              </w:rPr>
              <w:t>数量</w:t>
            </w:r>
          </w:p>
        </w:tc>
        <w:tc>
          <w:tcPr>
            <w:tcW w:w="2775" w:type="dxa"/>
            <w:tcBorders>
              <w:top w:val="single" w:color="auto" w:sz="4" w:space="0"/>
              <w:left w:val="single" w:color="auto" w:sz="4" w:space="0"/>
              <w:bottom w:val="single" w:color="auto" w:sz="4" w:space="0"/>
              <w:right w:val="single" w:color="auto" w:sz="4" w:space="0"/>
            </w:tcBorders>
            <w:shd w:val="clear" w:color="auto" w:fill="auto"/>
            <w:vAlign w:val="top"/>
          </w:tcPr>
          <w:p w14:paraId="7DD0BF65">
            <w:pPr>
              <w:pStyle w:val="5"/>
              <w:keepNext w:val="0"/>
              <w:keepLines w:val="0"/>
              <w:widowControl/>
              <w:suppressLineNumbers w:val="0"/>
              <w:spacing w:before="0" w:beforeAutospacing="0" w:after="0" w:afterAutospacing="0"/>
              <w:ind w:left="0" w:right="0"/>
              <w:jc w:val="center"/>
              <w:rPr>
                <w:rFonts w:hint="eastAsia" w:ascii="宋体" w:hAnsi="宋体" w:eastAsia="宋体" w:cs="宋体"/>
              </w:rPr>
            </w:pPr>
            <w:r>
              <w:rPr>
                <w:rStyle w:val="8"/>
                <w:rFonts w:hint="eastAsia" w:ascii="宋体" w:hAnsi="宋体" w:eastAsia="宋体" w:cs="宋体"/>
                <w:b/>
                <w:bCs/>
              </w:rPr>
              <w:t>预算金额（元）</w:t>
            </w:r>
          </w:p>
        </w:tc>
      </w:tr>
      <w:tr w14:paraId="474D888A">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shd w:val="clear" w:color="auto" w:fill="auto"/>
          <w:tblCellMar>
            <w:top w:w="15" w:type="dxa"/>
            <w:left w:w="15" w:type="dxa"/>
            <w:bottom w:w="15" w:type="dxa"/>
            <w:right w:w="15" w:type="dxa"/>
          </w:tblCellMar>
        </w:tblPrEx>
        <w:tc>
          <w:tcPr>
            <w:tcW w:w="2775" w:type="dxa"/>
            <w:tcBorders>
              <w:top w:val="single" w:color="auto" w:sz="4" w:space="0"/>
              <w:left w:val="single" w:color="auto" w:sz="4" w:space="0"/>
              <w:bottom w:val="single" w:color="auto" w:sz="4" w:space="0"/>
              <w:right w:val="single" w:color="auto" w:sz="4" w:space="0"/>
            </w:tcBorders>
            <w:shd w:val="clear" w:color="auto" w:fill="auto"/>
            <w:vAlign w:val="top"/>
          </w:tcPr>
          <w:p w14:paraId="26768829">
            <w:pPr>
              <w:pStyle w:val="5"/>
              <w:keepNext w:val="0"/>
              <w:keepLines w:val="0"/>
              <w:widowControl/>
              <w:suppressLineNumbers w:val="0"/>
              <w:spacing w:before="0" w:beforeAutospacing="0" w:after="0" w:afterAutospacing="0"/>
              <w:ind w:left="0" w:right="0"/>
              <w:jc w:val="center"/>
              <w:rPr>
                <w:rFonts w:hint="eastAsia" w:ascii="宋体" w:hAnsi="宋体" w:eastAsia="宋体" w:cs="宋体"/>
              </w:rPr>
            </w:pPr>
            <w:r>
              <w:rPr>
                <w:rFonts w:hint="eastAsia" w:ascii="宋体" w:hAnsi="宋体" w:eastAsia="宋体" w:cs="宋体"/>
              </w:rPr>
              <w:t>1</w:t>
            </w:r>
          </w:p>
        </w:tc>
        <w:tc>
          <w:tcPr>
            <w:tcW w:w="2775" w:type="dxa"/>
            <w:tcBorders>
              <w:top w:val="single" w:color="auto" w:sz="4" w:space="0"/>
              <w:left w:val="single" w:color="auto" w:sz="4" w:space="0"/>
              <w:bottom w:val="single" w:color="auto" w:sz="4" w:space="0"/>
              <w:right w:val="single" w:color="auto" w:sz="4" w:space="0"/>
            </w:tcBorders>
            <w:shd w:val="clear" w:color="auto" w:fill="auto"/>
            <w:vAlign w:val="top"/>
          </w:tcPr>
          <w:p w14:paraId="037F11A4">
            <w:pPr>
              <w:pStyle w:val="5"/>
              <w:keepNext w:val="0"/>
              <w:keepLines w:val="0"/>
              <w:widowControl/>
              <w:suppressLineNumbers w:val="0"/>
              <w:spacing w:before="0" w:beforeAutospacing="0" w:after="0" w:afterAutospacing="0"/>
              <w:ind w:left="0" w:right="0"/>
              <w:jc w:val="center"/>
              <w:rPr>
                <w:rFonts w:hint="eastAsia" w:ascii="宋体" w:hAnsi="宋体" w:eastAsia="宋体" w:cs="宋体"/>
              </w:rPr>
            </w:pPr>
            <w:r>
              <w:rPr>
                <w:rFonts w:hint="eastAsia" w:ascii="宋体" w:hAnsi="宋体" w:eastAsia="宋体" w:cs="宋体"/>
              </w:rPr>
              <w:t>AI数字软件编程教学训练平台（软件）</w:t>
            </w:r>
          </w:p>
        </w:tc>
        <w:tc>
          <w:tcPr>
            <w:tcW w:w="2775" w:type="dxa"/>
            <w:tcBorders>
              <w:top w:val="single" w:color="auto" w:sz="4" w:space="0"/>
              <w:left w:val="single" w:color="auto" w:sz="4" w:space="0"/>
              <w:bottom w:val="single" w:color="auto" w:sz="4" w:space="0"/>
              <w:right w:val="single" w:color="auto" w:sz="4" w:space="0"/>
            </w:tcBorders>
            <w:shd w:val="clear" w:color="auto" w:fill="auto"/>
            <w:vAlign w:val="top"/>
          </w:tcPr>
          <w:p w14:paraId="693E8EC9">
            <w:pPr>
              <w:pStyle w:val="5"/>
              <w:keepNext w:val="0"/>
              <w:keepLines w:val="0"/>
              <w:widowControl/>
              <w:suppressLineNumbers w:val="0"/>
              <w:spacing w:before="0" w:beforeAutospacing="0" w:after="0" w:afterAutospacing="0"/>
              <w:ind w:left="0" w:right="0"/>
              <w:jc w:val="center"/>
              <w:rPr>
                <w:rFonts w:hint="default" w:ascii="宋体" w:hAnsi="宋体" w:eastAsia="宋体" w:cs="宋体"/>
                <w:lang w:val="en-US" w:eastAsia="zh-CN"/>
              </w:rPr>
            </w:pPr>
          </w:p>
        </w:tc>
        <w:tc>
          <w:tcPr>
            <w:tcW w:w="2775" w:type="dxa"/>
            <w:tcBorders>
              <w:top w:val="single" w:color="auto" w:sz="4" w:space="0"/>
              <w:left w:val="single" w:color="auto" w:sz="4" w:space="0"/>
              <w:bottom w:val="single" w:color="auto" w:sz="4" w:space="0"/>
              <w:right w:val="single" w:color="auto" w:sz="4" w:space="0"/>
            </w:tcBorders>
            <w:shd w:val="clear" w:color="auto" w:fill="auto"/>
            <w:vAlign w:val="top"/>
          </w:tcPr>
          <w:p w14:paraId="33BAAD3C">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26208</w:t>
            </w:r>
          </w:p>
        </w:tc>
      </w:tr>
      <w:tr w14:paraId="350D1153">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15" w:type="dxa"/>
            <w:left w:w="15" w:type="dxa"/>
            <w:bottom w:w="15" w:type="dxa"/>
            <w:right w:w="15" w:type="dxa"/>
          </w:tblCellMar>
        </w:tblPrEx>
        <w:tc>
          <w:tcPr>
            <w:tcW w:w="2775" w:type="dxa"/>
            <w:tcBorders>
              <w:top w:val="single" w:color="auto" w:sz="4" w:space="0"/>
              <w:left w:val="single" w:color="auto" w:sz="4" w:space="0"/>
              <w:bottom w:val="single" w:color="auto" w:sz="4" w:space="0"/>
              <w:right w:val="single" w:color="auto" w:sz="4" w:space="0"/>
            </w:tcBorders>
            <w:shd w:val="clear" w:color="auto" w:fill="auto"/>
            <w:vAlign w:val="top"/>
          </w:tcPr>
          <w:p w14:paraId="2F6A1085">
            <w:pPr>
              <w:pStyle w:val="5"/>
              <w:keepNext w:val="0"/>
              <w:keepLines w:val="0"/>
              <w:widowControl/>
              <w:suppressLineNumbers w:val="0"/>
              <w:spacing w:before="0" w:beforeAutospacing="0" w:after="0" w:afterAutospacing="0"/>
              <w:ind w:left="0" w:right="0"/>
              <w:jc w:val="center"/>
              <w:rPr>
                <w:rFonts w:hint="eastAsia" w:ascii="宋体" w:hAnsi="宋体" w:eastAsia="宋体" w:cs="宋体"/>
              </w:rPr>
            </w:pPr>
            <w:r>
              <w:rPr>
                <w:rFonts w:hint="eastAsia" w:ascii="宋体" w:hAnsi="宋体" w:eastAsia="宋体" w:cs="宋体"/>
              </w:rPr>
              <w:t>2</w:t>
            </w:r>
          </w:p>
        </w:tc>
        <w:tc>
          <w:tcPr>
            <w:tcW w:w="2775" w:type="dxa"/>
            <w:tcBorders>
              <w:top w:val="single" w:color="auto" w:sz="4" w:space="0"/>
              <w:left w:val="single" w:color="auto" w:sz="4" w:space="0"/>
              <w:bottom w:val="single" w:color="auto" w:sz="4" w:space="0"/>
              <w:right w:val="single" w:color="auto" w:sz="4" w:space="0"/>
            </w:tcBorders>
            <w:shd w:val="clear" w:color="auto" w:fill="auto"/>
            <w:vAlign w:val="top"/>
          </w:tcPr>
          <w:p w14:paraId="2AEA955C">
            <w:pPr>
              <w:pStyle w:val="5"/>
              <w:keepNext w:val="0"/>
              <w:keepLines w:val="0"/>
              <w:widowControl/>
              <w:suppressLineNumbers w:val="0"/>
              <w:spacing w:before="0" w:beforeAutospacing="0" w:after="0" w:afterAutospacing="0"/>
              <w:ind w:left="0" w:right="0"/>
              <w:jc w:val="center"/>
              <w:rPr>
                <w:rFonts w:hint="eastAsia" w:ascii="宋体" w:hAnsi="宋体" w:eastAsia="宋体" w:cs="宋体"/>
              </w:rPr>
            </w:pPr>
            <w:r>
              <w:rPr>
                <w:rFonts w:hint="eastAsia" w:ascii="宋体" w:hAnsi="宋体" w:eastAsia="宋体" w:cs="宋体"/>
              </w:rPr>
              <w:t>竞赛课程交互板设备</w:t>
            </w:r>
          </w:p>
        </w:tc>
        <w:tc>
          <w:tcPr>
            <w:tcW w:w="2775" w:type="dxa"/>
            <w:tcBorders>
              <w:top w:val="single" w:color="auto" w:sz="4" w:space="0"/>
              <w:left w:val="single" w:color="auto" w:sz="4" w:space="0"/>
              <w:bottom w:val="single" w:color="auto" w:sz="4" w:space="0"/>
              <w:right w:val="single" w:color="auto" w:sz="4" w:space="0"/>
            </w:tcBorders>
            <w:shd w:val="clear" w:color="auto" w:fill="auto"/>
            <w:vAlign w:val="top"/>
          </w:tcPr>
          <w:p w14:paraId="07D5FEA8">
            <w:pPr>
              <w:pStyle w:val="5"/>
              <w:keepNext w:val="0"/>
              <w:keepLines w:val="0"/>
              <w:widowControl/>
              <w:suppressLineNumbers w:val="0"/>
              <w:spacing w:before="0" w:beforeAutospacing="0" w:after="0" w:afterAutospacing="0"/>
              <w:ind w:left="0" w:right="0"/>
              <w:jc w:val="center"/>
              <w:rPr>
                <w:rFonts w:hint="eastAsia" w:ascii="宋体" w:hAnsi="宋体" w:eastAsia="宋体" w:cs="宋体"/>
              </w:rPr>
            </w:pPr>
            <w:r>
              <w:rPr>
                <w:rFonts w:hint="eastAsia" w:ascii="宋体" w:hAnsi="宋体" w:eastAsia="宋体" w:cs="宋体"/>
              </w:rPr>
              <w:t>84件</w:t>
            </w:r>
          </w:p>
        </w:tc>
        <w:tc>
          <w:tcPr>
            <w:tcW w:w="2775" w:type="dxa"/>
            <w:tcBorders>
              <w:top w:val="single" w:color="auto" w:sz="4" w:space="0"/>
              <w:left w:val="single" w:color="auto" w:sz="4" w:space="0"/>
              <w:bottom w:val="single" w:color="auto" w:sz="4" w:space="0"/>
              <w:right w:val="single" w:color="auto" w:sz="4" w:space="0"/>
            </w:tcBorders>
            <w:shd w:val="clear" w:color="auto" w:fill="auto"/>
            <w:vAlign w:val="top"/>
          </w:tcPr>
          <w:p w14:paraId="05707B6D">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18732</w:t>
            </w:r>
          </w:p>
        </w:tc>
      </w:tr>
      <w:tr w14:paraId="0DC82647">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15" w:type="dxa"/>
            <w:left w:w="15" w:type="dxa"/>
            <w:bottom w:w="15" w:type="dxa"/>
            <w:right w:w="15" w:type="dxa"/>
          </w:tblCellMar>
        </w:tblPrEx>
        <w:tc>
          <w:tcPr>
            <w:tcW w:w="2775" w:type="dxa"/>
            <w:tcBorders>
              <w:top w:val="single" w:color="auto" w:sz="4" w:space="0"/>
              <w:left w:val="single" w:color="auto" w:sz="4" w:space="0"/>
              <w:bottom w:val="single" w:color="auto" w:sz="4" w:space="0"/>
              <w:right w:val="single" w:color="auto" w:sz="4" w:space="0"/>
            </w:tcBorders>
            <w:shd w:val="clear" w:color="auto" w:fill="auto"/>
            <w:vAlign w:val="top"/>
          </w:tcPr>
          <w:p w14:paraId="71C89D66">
            <w:pPr>
              <w:pStyle w:val="5"/>
              <w:keepNext w:val="0"/>
              <w:keepLines w:val="0"/>
              <w:widowControl/>
              <w:suppressLineNumbers w:val="0"/>
              <w:spacing w:before="0" w:beforeAutospacing="0" w:after="0" w:afterAutospacing="0"/>
              <w:ind w:left="0" w:right="0"/>
              <w:jc w:val="center"/>
              <w:rPr>
                <w:rFonts w:hint="eastAsia" w:ascii="宋体" w:hAnsi="宋体" w:eastAsia="宋体" w:cs="宋体"/>
              </w:rPr>
            </w:pPr>
          </w:p>
        </w:tc>
        <w:tc>
          <w:tcPr>
            <w:tcW w:w="2775" w:type="dxa"/>
            <w:tcBorders>
              <w:top w:val="single" w:color="auto" w:sz="4" w:space="0"/>
              <w:left w:val="single" w:color="auto" w:sz="4" w:space="0"/>
              <w:bottom w:val="single" w:color="auto" w:sz="4" w:space="0"/>
              <w:right w:val="single" w:color="auto" w:sz="4" w:space="0"/>
            </w:tcBorders>
            <w:shd w:val="clear" w:color="auto" w:fill="auto"/>
            <w:vAlign w:val="top"/>
          </w:tcPr>
          <w:p w14:paraId="09FDFADA">
            <w:pPr>
              <w:jc w:val="center"/>
              <w:rPr>
                <w:rFonts w:hint="eastAsia" w:ascii="宋体" w:hAnsi="宋体" w:eastAsia="宋体" w:cs="宋体"/>
                <w:sz w:val="24"/>
                <w:szCs w:val="24"/>
              </w:rPr>
            </w:pPr>
          </w:p>
        </w:tc>
        <w:tc>
          <w:tcPr>
            <w:tcW w:w="2775" w:type="dxa"/>
            <w:tcBorders>
              <w:top w:val="single" w:color="auto" w:sz="4" w:space="0"/>
              <w:left w:val="single" w:color="auto" w:sz="4" w:space="0"/>
              <w:bottom w:val="single" w:color="auto" w:sz="4" w:space="0"/>
              <w:right w:val="single" w:color="auto" w:sz="4" w:space="0"/>
            </w:tcBorders>
            <w:shd w:val="clear" w:color="auto" w:fill="auto"/>
            <w:vAlign w:val="top"/>
          </w:tcPr>
          <w:p w14:paraId="5BC50D58">
            <w:pPr>
              <w:jc w:val="center"/>
              <w:rPr>
                <w:rFonts w:hint="eastAsia" w:ascii="宋体" w:hAnsi="宋体" w:eastAsia="宋体" w:cs="宋体"/>
                <w:sz w:val="24"/>
                <w:szCs w:val="24"/>
              </w:rPr>
            </w:pPr>
          </w:p>
        </w:tc>
        <w:tc>
          <w:tcPr>
            <w:tcW w:w="2775" w:type="dxa"/>
            <w:tcBorders>
              <w:top w:val="single" w:color="auto" w:sz="4" w:space="0"/>
              <w:left w:val="single" w:color="auto" w:sz="4" w:space="0"/>
              <w:bottom w:val="single" w:color="auto" w:sz="4" w:space="0"/>
              <w:right w:val="single" w:color="auto" w:sz="4" w:space="0"/>
            </w:tcBorders>
            <w:shd w:val="clear" w:color="auto" w:fill="auto"/>
            <w:vAlign w:val="top"/>
          </w:tcPr>
          <w:p w14:paraId="758B2FB8">
            <w:pPr>
              <w:jc w:val="center"/>
              <w:rPr>
                <w:rFonts w:hint="eastAsia" w:ascii="宋体" w:hAnsi="宋体" w:eastAsia="宋体" w:cs="宋体"/>
                <w:sz w:val="24"/>
                <w:szCs w:val="24"/>
              </w:rPr>
            </w:pPr>
          </w:p>
        </w:tc>
      </w:tr>
      <w:tr w14:paraId="57C557A8">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shd w:val="clear" w:color="auto" w:fill="auto"/>
          <w:tblCellMar>
            <w:top w:w="15" w:type="dxa"/>
            <w:left w:w="15" w:type="dxa"/>
            <w:bottom w:w="15" w:type="dxa"/>
            <w:right w:w="15" w:type="dxa"/>
          </w:tblCellMar>
        </w:tblPrEx>
        <w:tc>
          <w:tcPr>
            <w:tcW w:w="2775" w:type="dxa"/>
            <w:tcBorders>
              <w:top w:val="single" w:color="auto" w:sz="4" w:space="0"/>
              <w:left w:val="single" w:color="auto" w:sz="4" w:space="0"/>
              <w:bottom w:val="single" w:color="auto" w:sz="4" w:space="0"/>
              <w:right w:val="single" w:color="auto" w:sz="4" w:space="0"/>
            </w:tcBorders>
            <w:shd w:val="clear" w:color="auto" w:fill="auto"/>
            <w:vAlign w:val="top"/>
          </w:tcPr>
          <w:p w14:paraId="4200E492">
            <w:pPr>
              <w:pStyle w:val="5"/>
              <w:keepNext w:val="0"/>
              <w:keepLines w:val="0"/>
              <w:widowControl/>
              <w:suppressLineNumbers w:val="0"/>
              <w:spacing w:before="0" w:beforeAutospacing="0" w:after="0" w:afterAutospacing="0"/>
              <w:ind w:left="0" w:right="0"/>
              <w:jc w:val="center"/>
              <w:rPr>
                <w:rFonts w:hint="eastAsia" w:ascii="宋体" w:hAnsi="宋体" w:eastAsia="宋体" w:cs="宋体"/>
              </w:rPr>
            </w:pPr>
            <w:r>
              <w:rPr>
                <w:rStyle w:val="8"/>
                <w:rFonts w:hint="eastAsia" w:ascii="宋体" w:hAnsi="宋体" w:eastAsia="宋体" w:cs="宋体"/>
                <w:b/>
                <w:bCs/>
              </w:rPr>
              <w:t>合计</w:t>
            </w:r>
          </w:p>
        </w:tc>
        <w:tc>
          <w:tcPr>
            <w:tcW w:w="2775" w:type="dxa"/>
            <w:tcBorders>
              <w:top w:val="single" w:color="auto" w:sz="4" w:space="0"/>
              <w:left w:val="single" w:color="auto" w:sz="4" w:space="0"/>
              <w:bottom w:val="single" w:color="auto" w:sz="4" w:space="0"/>
              <w:right w:val="single" w:color="auto" w:sz="4" w:space="0"/>
            </w:tcBorders>
            <w:shd w:val="clear" w:color="auto" w:fill="auto"/>
            <w:vAlign w:val="top"/>
          </w:tcPr>
          <w:p w14:paraId="07509C57">
            <w:pPr>
              <w:jc w:val="center"/>
              <w:rPr>
                <w:rFonts w:hint="eastAsia" w:ascii="宋体" w:hAnsi="宋体" w:eastAsia="宋体" w:cs="宋体"/>
                <w:sz w:val="24"/>
                <w:szCs w:val="24"/>
              </w:rPr>
            </w:pPr>
          </w:p>
        </w:tc>
        <w:tc>
          <w:tcPr>
            <w:tcW w:w="2775" w:type="dxa"/>
            <w:tcBorders>
              <w:top w:val="single" w:color="auto" w:sz="4" w:space="0"/>
              <w:left w:val="single" w:color="auto" w:sz="4" w:space="0"/>
              <w:bottom w:val="single" w:color="auto" w:sz="4" w:space="0"/>
              <w:right w:val="single" w:color="auto" w:sz="4" w:space="0"/>
            </w:tcBorders>
            <w:shd w:val="clear" w:color="auto" w:fill="auto"/>
            <w:vAlign w:val="top"/>
          </w:tcPr>
          <w:p w14:paraId="6C5917A3">
            <w:pPr>
              <w:jc w:val="center"/>
              <w:rPr>
                <w:rFonts w:hint="eastAsia" w:ascii="宋体" w:hAnsi="宋体" w:eastAsia="宋体" w:cs="宋体"/>
                <w:sz w:val="24"/>
                <w:szCs w:val="24"/>
              </w:rPr>
            </w:pPr>
          </w:p>
        </w:tc>
        <w:tc>
          <w:tcPr>
            <w:tcW w:w="2775" w:type="dxa"/>
            <w:tcBorders>
              <w:top w:val="single" w:color="auto" w:sz="4" w:space="0"/>
              <w:left w:val="single" w:color="auto" w:sz="4" w:space="0"/>
              <w:bottom w:val="single" w:color="auto" w:sz="4" w:space="0"/>
              <w:right w:val="single" w:color="auto" w:sz="4" w:space="0"/>
            </w:tcBorders>
            <w:shd w:val="clear" w:color="auto" w:fill="auto"/>
            <w:vAlign w:val="top"/>
          </w:tcPr>
          <w:p w14:paraId="62784C9D">
            <w:pPr>
              <w:jc w:val="center"/>
              <w:rPr>
                <w:rFonts w:hint="default" w:ascii="宋体" w:hAnsi="宋体" w:eastAsia="宋体" w:cs="宋体"/>
                <w:sz w:val="24"/>
                <w:szCs w:val="24"/>
                <w:lang w:val="en-US"/>
              </w:rPr>
            </w:pPr>
            <w:r>
              <w:rPr>
                <w:rFonts w:hint="eastAsia" w:ascii="宋体" w:hAnsi="宋体" w:eastAsia="宋体" w:cs="宋体"/>
                <w:sz w:val="24"/>
                <w:szCs w:val="24"/>
                <w:lang w:val="en-US" w:eastAsia="zh-CN"/>
              </w:rPr>
              <w:t>44940</w:t>
            </w:r>
          </w:p>
        </w:tc>
      </w:tr>
    </w:tbl>
    <w:p w14:paraId="1B2AF7BD">
      <w:pPr>
        <w:pStyle w:val="3"/>
        <w:keepNext w:val="0"/>
        <w:keepLines w:val="0"/>
        <w:widowControl/>
        <w:suppressLineNumbers w:val="0"/>
        <w:ind w:left="0" w:firstLine="0"/>
        <w:rPr>
          <w:rFonts w:hint="eastAsia" w:ascii="宋体" w:hAnsi="宋体" w:eastAsia="宋体" w:cs="宋体"/>
        </w:rPr>
      </w:pPr>
      <w:r>
        <w:rPr>
          <w:rFonts w:hint="eastAsia" w:ascii="宋体" w:hAnsi="宋体" w:eastAsia="宋体" w:cs="宋体"/>
        </w:rPr>
        <w:t>五、实施计划</w:t>
      </w:r>
    </w:p>
    <w:tbl>
      <w:tblPr>
        <w:tblStyle w:val="6"/>
        <w:tblW w:w="0" w:type="auto"/>
        <w:tblInd w:w="0" w:type="dxa"/>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2734"/>
        <w:gridCol w:w="2801"/>
        <w:gridCol w:w="2801"/>
      </w:tblGrid>
      <w:tr w14:paraId="39ABD92C">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shd w:val="clear" w:color="auto" w:fill="auto"/>
          <w:tblCellMar>
            <w:top w:w="15" w:type="dxa"/>
            <w:left w:w="15" w:type="dxa"/>
            <w:bottom w:w="15" w:type="dxa"/>
            <w:right w:w="15" w:type="dxa"/>
          </w:tblCellMar>
        </w:tblPrEx>
        <w:tc>
          <w:tcPr>
            <w:tcW w:w="3700" w:type="dxa"/>
            <w:tcBorders>
              <w:top w:val="single" w:color="auto" w:sz="4" w:space="0"/>
              <w:left w:val="single" w:color="auto" w:sz="4" w:space="0"/>
              <w:bottom w:val="single" w:color="auto" w:sz="4" w:space="0"/>
              <w:right w:val="single" w:color="auto" w:sz="4" w:space="0"/>
            </w:tcBorders>
            <w:shd w:val="clear" w:color="auto" w:fill="auto"/>
            <w:vAlign w:val="top"/>
          </w:tcPr>
          <w:p w14:paraId="2466FDD7">
            <w:pPr>
              <w:pStyle w:val="5"/>
              <w:keepNext w:val="0"/>
              <w:keepLines w:val="0"/>
              <w:widowControl/>
              <w:suppressLineNumbers w:val="0"/>
              <w:spacing w:before="0" w:beforeAutospacing="0" w:after="0" w:afterAutospacing="0"/>
              <w:ind w:left="0" w:right="0"/>
              <w:jc w:val="center"/>
              <w:rPr>
                <w:rFonts w:hint="eastAsia" w:ascii="宋体" w:hAnsi="宋体" w:eastAsia="宋体" w:cs="宋体"/>
              </w:rPr>
            </w:pPr>
            <w:r>
              <w:rPr>
                <w:rStyle w:val="8"/>
                <w:rFonts w:hint="eastAsia" w:ascii="宋体" w:hAnsi="宋体" w:eastAsia="宋体" w:cs="宋体"/>
                <w:b/>
                <w:bCs/>
              </w:rPr>
              <w:t>阶段</w:t>
            </w:r>
          </w:p>
        </w:tc>
        <w:tc>
          <w:tcPr>
            <w:tcW w:w="3700" w:type="dxa"/>
            <w:tcBorders>
              <w:top w:val="single" w:color="auto" w:sz="4" w:space="0"/>
              <w:left w:val="single" w:color="auto" w:sz="4" w:space="0"/>
              <w:bottom w:val="single" w:color="auto" w:sz="4" w:space="0"/>
              <w:right w:val="single" w:color="auto" w:sz="4" w:space="0"/>
            </w:tcBorders>
            <w:shd w:val="clear" w:color="auto" w:fill="auto"/>
            <w:vAlign w:val="top"/>
          </w:tcPr>
          <w:p w14:paraId="3CE971C0">
            <w:pPr>
              <w:pStyle w:val="5"/>
              <w:keepNext w:val="0"/>
              <w:keepLines w:val="0"/>
              <w:widowControl/>
              <w:suppressLineNumbers w:val="0"/>
              <w:spacing w:before="0" w:beforeAutospacing="0" w:after="0" w:afterAutospacing="0"/>
              <w:ind w:left="0" w:right="0"/>
              <w:jc w:val="center"/>
              <w:rPr>
                <w:rFonts w:hint="eastAsia" w:ascii="宋体" w:hAnsi="宋体" w:eastAsia="宋体" w:cs="宋体"/>
              </w:rPr>
            </w:pPr>
            <w:r>
              <w:rPr>
                <w:rStyle w:val="8"/>
                <w:rFonts w:hint="eastAsia" w:ascii="宋体" w:hAnsi="宋体" w:eastAsia="宋体" w:cs="宋体"/>
                <w:b/>
                <w:bCs/>
              </w:rPr>
              <w:t>时间安排</w:t>
            </w:r>
          </w:p>
        </w:tc>
        <w:tc>
          <w:tcPr>
            <w:tcW w:w="3700" w:type="dxa"/>
            <w:tcBorders>
              <w:top w:val="single" w:color="auto" w:sz="4" w:space="0"/>
              <w:left w:val="single" w:color="auto" w:sz="4" w:space="0"/>
              <w:bottom w:val="single" w:color="auto" w:sz="4" w:space="0"/>
              <w:right w:val="single" w:color="auto" w:sz="4" w:space="0"/>
            </w:tcBorders>
            <w:shd w:val="clear" w:color="auto" w:fill="auto"/>
            <w:vAlign w:val="top"/>
          </w:tcPr>
          <w:p w14:paraId="74FC830B">
            <w:pPr>
              <w:pStyle w:val="5"/>
              <w:keepNext w:val="0"/>
              <w:keepLines w:val="0"/>
              <w:widowControl/>
              <w:suppressLineNumbers w:val="0"/>
              <w:spacing w:before="0" w:beforeAutospacing="0" w:after="0" w:afterAutospacing="0"/>
              <w:ind w:left="0" w:right="0"/>
              <w:jc w:val="center"/>
              <w:rPr>
                <w:rFonts w:hint="eastAsia" w:ascii="宋体" w:hAnsi="宋体" w:eastAsia="宋体" w:cs="宋体"/>
              </w:rPr>
            </w:pPr>
            <w:r>
              <w:rPr>
                <w:rStyle w:val="8"/>
                <w:rFonts w:hint="eastAsia" w:ascii="宋体" w:hAnsi="宋体" w:eastAsia="宋体" w:cs="宋体"/>
                <w:b/>
                <w:bCs/>
              </w:rPr>
              <w:t>主要工作内容</w:t>
            </w:r>
          </w:p>
        </w:tc>
      </w:tr>
      <w:tr w14:paraId="0ACCB1B9">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15" w:type="dxa"/>
            <w:left w:w="15" w:type="dxa"/>
            <w:bottom w:w="15" w:type="dxa"/>
            <w:right w:w="15" w:type="dxa"/>
          </w:tblCellMar>
        </w:tblPrEx>
        <w:tc>
          <w:tcPr>
            <w:tcW w:w="3700" w:type="dxa"/>
            <w:tcBorders>
              <w:top w:val="single" w:color="auto" w:sz="4" w:space="0"/>
              <w:left w:val="single" w:color="auto" w:sz="4" w:space="0"/>
              <w:bottom w:val="single" w:color="auto" w:sz="4" w:space="0"/>
              <w:right w:val="single" w:color="auto" w:sz="4" w:space="0"/>
            </w:tcBorders>
            <w:shd w:val="clear" w:color="auto" w:fill="auto"/>
            <w:vAlign w:val="top"/>
          </w:tcPr>
          <w:p w14:paraId="35CADE17">
            <w:pPr>
              <w:pStyle w:val="5"/>
              <w:keepNext w:val="0"/>
              <w:keepLines w:val="0"/>
              <w:widowControl/>
              <w:suppressLineNumbers w:val="0"/>
              <w:spacing w:before="0" w:beforeAutospacing="0" w:after="0" w:afterAutospacing="0"/>
              <w:ind w:left="0" w:right="0"/>
              <w:jc w:val="center"/>
              <w:rPr>
                <w:rFonts w:hint="eastAsia" w:ascii="宋体" w:hAnsi="宋体" w:eastAsia="宋体" w:cs="宋体"/>
              </w:rPr>
            </w:pPr>
            <w:r>
              <w:rPr>
                <w:rFonts w:hint="eastAsia" w:ascii="宋体" w:hAnsi="宋体" w:eastAsia="宋体" w:cs="宋体"/>
              </w:rPr>
              <w:t>项目立项审批</w:t>
            </w:r>
          </w:p>
        </w:tc>
        <w:tc>
          <w:tcPr>
            <w:tcW w:w="3700" w:type="dxa"/>
            <w:tcBorders>
              <w:top w:val="single" w:color="auto" w:sz="4" w:space="0"/>
              <w:left w:val="single" w:color="auto" w:sz="4" w:space="0"/>
              <w:bottom w:val="single" w:color="auto" w:sz="4" w:space="0"/>
              <w:right w:val="single" w:color="auto" w:sz="4" w:space="0"/>
            </w:tcBorders>
            <w:shd w:val="clear" w:color="auto" w:fill="auto"/>
            <w:vAlign w:val="top"/>
          </w:tcPr>
          <w:p w14:paraId="3F15A8F1">
            <w:pPr>
              <w:pStyle w:val="5"/>
              <w:keepNext w:val="0"/>
              <w:keepLines w:val="0"/>
              <w:widowControl/>
              <w:suppressLineNumbers w:val="0"/>
              <w:spacing w:before="0" w:beforeAutospacing="0" w:after="0" w:afterAutospacing="0"/>
              <w:ind w:left="0" w:right="0"/>
              <w:jc w:val="center"/>
              <w:rPr>
                <w:rFonts w:hint="eastAsia" w:ascii="宋体" w:hAnsi="宋体" w:eastAsia="宋体" w:cs="宋体"/>
              </w:rPr>
            </w:pPr>
            <w:r>
              <w:rPr>
                <w:rFonts w:hint="eastAsia" w:ascii="宋体" w:hAnsi="宋体" w:eastAsia="宋体" w:cs="宋体"/>
              </w:rPr>
              <w:t>2026年9月</w:t>
            </w:r>
          </w:p>
        </w:tc>
        <w:tc>
          <w:tcPr>
            <w:tcW w:w="3700" w:type="dxa"/>
            <w:tcBorders>
              <w:top w:val="single" w:color="auto" w:sz="4" w:space="0"/>
              <w:left w:val="single" w:color="auto" w:sz="4" w:space="0"/>
              <w:bottom w:val="single" w:color="auto" w:sz="4" w:space="0"/>
              <w:right w:val="single" w:color="auto" w:sz="4" w:space="0"/>
            </w:tcBorders>
            <w:shd w:val="clear" w:color="auto" w:fill="auto"/>
            <w:vAlign w:val="top"/>
          </w:tcPr>
          <w:p w14:paraId="56C5F2A1">
            <w:pPr>
              <w:pStyle w:val="5"/>
              <w:keepNext w:val="0"/>
              <w:keepLines w:val="0"/>
              <w:widowControl/>
              <w:suppressLineNumbers w:val="0"/>
              <w:spacing w:before="0" w:beforeAutospacing="0" w:after="0" w:afterAutospacing="0"/>
              <w:ind w:left="0" w:right="0"/>
              <w:jc w:val="center"/>
              <w:rPr>
                <w:rFonts w:hint="eastAsia" w:ascii="宋体" w:hAnsi="宋体" w:eastAsia="宋体" w:cs="宋体"/>
              </w:rPr>
            </w:pPr>
            <w:r>
              <w:rPr>
                <w:rFonts w:hint="eastAsia" w:ascii="宋体" w:hAnsi="宋体" w:eastAsia="宋体" w:cs="宋体"/>
              </w:rPr>
              <w:t>完成校内立项及预算审批流程</w:t>
            </w:r>
          </w:p>
        </w:tc>
      </w:tr>
      <w:tr w14:paraId="791CBEA5">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15" w:type="dxa"/>
            <w:left w:w="15" w:type="dxa"/>
            <w:bottom w:w="15" w:type="dxa"/>
            <w:right w:w="15" w:type="dxa"/>
          </w:tblCellMar>
        </w:tblPrEx>
        <w:tc>
          <w:tcPr>
            <w:tcW w:w="3700" w:type="dxa"/>
            <w:tcBorders>
              <w:top w:val="single" w:color="auto" w:sz="4" w:space="0"/>
              <w:left w:val="single" w:color="auto" w:sz="4" w:space="0"/>
              <w:bottom w:val="single" w:color="auto" w:sz="4" w:space="0"/>
              <w:right w:val="single" w:color="auto" w:sz="4" w:space="0"/>
            </w:tcBorders>
            <w:shd w:val="clear" w:color="auto" w:fill="auto"/>
            <w:vAlign w:val="top"/>
          </w:tcPr>
          <w:p w14:paraId="7FF46EAA">
            <w:pPr>
              <w:pStyle w:val="5"/>
              <w:keepNext w:val="0"/>
              <w:keepLines w:val="0"/>
              <w:widowControl/>
              <w:suppressLineNumbers w:val="0"/>
              <w:spacing w:before="0" w:beforeAutospacing="0" w:after="0" w:afterAutospacing="0"/>
              <w:ind w:left="0" w:right="0"/>
              <w:jc w:val="center"/>
              <w:rPr>
                <w:rFonts w:hint="eastAsia" w:ascii="宋体" w:hAnsi="宋体" w:eastAsia="宋体" w:cs="宋体"/>
                <w:lang w:val="en-US" w:eastAsia="zh-CN"/>
              </w:rPr>
            </w:pPr>
            <w:r>
              <w:rPr>
                <w:rFonts w:hint="eastAsia" w:ascii="宋体" w:hAnsi="宋体" w:eastAsia="宋体" w:cs="宋体"/>
                <w:lang w:val="en-US" w:eastAsia="zh-CN"/>
              </w:rPr>
              <w:t>公开询价</w:t>
            </w:r>
          </w:p>
        </w:tc>
        <w:tc>
          <w:tcPr>
            <w:tcW w:w="3700" w:type="dxa"/>
            <w:tcBorders>
              <w:top w:val="single" w:color="auto" w:sz="4" w:space="0"/>
              <w:left w:val="single" w:color="auto" w:sz="4" w:space="0"/>
              <w:bottom w:val="single" w:color="auto" w:sz="4" w:space="0"/>
              <w:right w:val="single" w:color="auto" w:sz="4" w:space="0"/>
            </w:tcBorders>
            <w:shd w:val="clear" w:color="auto" w:fill="auto"/>
            <w:vAlign w:val="top"/>
          </w:tcPr>
          <w:p w14:paraId="7320FA14">
            <w:pPr>
              <w:pStyle w:val="5"/>
              <w:keepNext w:val="0"/>
              <w:keepLines w:val="0"/>
              <w:widowControl/>
              <w:suppressLineNumbers w:val="0"/>
              <w:spacing w:before="0" w:beforeAutospacing="0" w:after="0" w:afterAutospacing="0"/>
              <w:ind w:left="0" w:right="0"/>
              <w:jc w:val="center"/>
              <w:rPr>
                <w:rFonts w:hint="eastAsia" w:ascii="宋体" w:hAnsi="宋体" w:eastAsia="宋体" w:cs="宋体"/>
              </w:rPr>
            </w:pPr>
            <w:r>
              <w:rPr>
                <w:rFonts w:hint="eastAsia" w:ascii="宋体" w:hAnsi="宋体" w:eastAsia="宋体" w:cs="宋体"/>
              </w:rPr>
              <w:t>2026年9月</w:t>
            </w:r>
          </w:p>
        </w:tc>
        <w:tc>
          <w:tcPr>
            <w:tcW w:w="3700" w:type="dxa"/>
            <w:tcBorders>
              <w:top w:val="single" w:color="auto" w:sz="4" w:space="0"/>
              <w:left w:val="single" w:color="auto" w:sz="4" w:space="0"/>
              <w:bottom w:val="single" w:color="auto" w:sz="4" w:space="0"/>
              <w:right w:val="single" w:color="auto" w:sz="4" w:space="0"/>
            </w:tcBorders>
            <w:shd w:val="clear" w:color="auto" w:fill="auto"/>
            <w:vAlign w:val="top"/>
          </w:tcPr>
          <w:p w14:paraId="07025BED">
            <w:pPr>
              <w:pStyle w:val="5"/>
              <w:keepNext w:val="0"/>
              <w:keepLines w:val="0"/>
              <w:widowControl/>
              <w:suppressLineNumbers w:val="0"/>
              <w:spacing w:before="0" w:beforeAutospacing="0" w:after="0" w:afterAutospacing="0"/>
              <w:ind w:left="0" w:right="0"/>
              <w:jc w:val="center"/>
              <w:rPr>
                <w:rFonts w:hint="eastAsia" w:ascii="宋体" w:hAnsi="宋体" w:eastAsia="宋体" w:cs="宋体"/>
                <w:lang w:eastAsia="zh-CN"/>
              </w:rPr>
            </w:pPr>
            <w:r>
              <w:rPr>
                <w:rFonts w:hint="eastAsia" w:ascii="宋体" w:hAnsi="宋体" w:eastAsia="宋体" w:cs="宋体"/>
              </w:rPr>
              <w:t>按深圳市采购规定开展公开</w:t>
            </w:r>
            <w:r>
              <w:rPr>
                <w:rFonts w:hint="eastAsia" w:ascii="宋体" w:hAnsi="宋体" w:eastAsia="宋体" w:cs="宋体"/>
                <w:lang w:val="en-US" w:eastAsia="zh-CN"/>
              </w:rPr>
              <w:t>询价</w:t>
            </w:r>
          </w:p>
        </w:tc>
      </w:tr>
      <w:tr w14:paraId="632479EF">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15" w:type="dxa"/>
            <w:left w:w="15" w:type="dxa"/>
            <w:bottom w:w="15" w:type="dxa"/>
            <w:right w:w="15" w:type="dxa"/>
          </w:tblCellMar>
        </w:tblPrEx>
        <w:tc>
          <w:tcPr>
            <w:tcW w:w="3700" w:type="dxa"/>
            <w:tcBorders>
              <w:top w:val="single" w:color="auto" w:sz="4" w:space="0"/>
              <w:left w:val="single" w:color="auto" w:sz="4" w:space="0"/>
              <w:bottom w:val="single" w:color="auto" w:sz="4" w:space="0"/>
              <w:right w:val="single" w:color="auto" w:sz="4" w:space="0"/>
            </w:tcBorders>
            <w:shd w:val="clear" w:color="auto" w:fill="auto"/>
            <w:vAlign w:val="top"/>
          </w:tcPr>
          <w:p w14:paraId="25C7552F">
            <w:pPr>
              <w:pStyle w:val="5"/>
              <w:keepNext w:val="0"/>
              <w:keepLines w:val="0"/>
              <w:widowControl/>
              <w:suppressLineNumbers w:val="0"/>
              <w:spacing w:before="0" w:beforeAutospacing="0" w:after="0" w:afterAutospacing="0"/>
              <w:ind w:left="0" w:right="0"/>
              <w:jc w:val="center"/>
              <w:rPr>
                <w:rFonts w:hint="eastAsia" w:ascii="宋体" w:hAnsi="宋体" w:eastAsia="宋体" w:cs="宋体"/>
              </w:rPr>
            </w:pPr>
            <w:r>
              <w:rPr>
                <w:rFonts w:hint="eastAsia" w:ascii="宋体" w:hAnsi="宋体" w:eastAsia="宋体" w:cs="宋体"/>
              </w:rPr>
              <w:t>设备安装调试</w:t>
            </w:r>
          </w:p>
        </w:tc>
        <w:tc>
          <w:tcPr>
            <w:tcW w:w="3700" w:type="dxa"/>
            <w:tcBorders>
              <w:top w:val="single" w:color="auto" w:sz="4" w:space="0"/>
              <w:left w:val="single" w:color="auto" w:sz="4" w:space="0"/>
              <w:bottom w:val="single" w:color="auto" w:sz="4" w:space="0"/>
              <w:right w:val="single" w:color="auto" w:sz="4" w:space="0"/>
            </w:tcBorders>
            <w:shd w:val="clear" w:color="auto" w:fill="auto"/>
            <w:vAlign w:val="top"/>
          </w:tcPr>
          <w:p w14:paraId="79D788B4">
            <w:pPr>
              <w:pStyle w:val="5"/>
              <w:keepNext w:val="0"/>
              <w:keepLines w:val="0"/>
              <w:widowControl/>
              <w:suppressLineNumbers w:val="0"/>
              <w:spacing w:before="0" w:beforeAutospacing="0" w:after="0" w:afterAutospacing="0"/>
              <w:ind w:left="0" w:right="0"/>
              <w:jc w:val="center"/>
              <w:rPr>
                <w:rFonts w:hint="eastAsia" w:ascii="宋体" w:hAnsi="宋体" w:eastAsia="宋体" w:cs="宋体"/>
              </w:rPr>
            </w:pPr>
            <w:r>
              <w:rPr>
                <w:rFonts w:hint="eastAsia" w:ascii="宋体" w:hAnsi="宋体" w:eastAsia="宋体" w:cs="宋体"/>
              </w:rPr>
              <w:t>2026年9月</w:t>
            </w:r>
          </w:p>
        </w:tc>
        <w:tc>
          <w:tcPr>
            <w:tcW w:w="3700" w:type="dxa"/>
            <w:tcBorders>
              <w:top w:val="single" w:color="auto" w:sz="4" w:space="0"/>
              <w:left w:val="single" w:color="auto" w:sz="4" w:space="0"/>
              <w:bottom w:val="single" w:color="auto" w:sz="4" w:space="0"/>
              <w:right w:val="single" w:color="auto" w:sz="4" w:space="0"/>
            </w:tcBorders>
            <w:shd w:val="clear" w:color="auto" w:fill="auto"/>
            <w:vAlign w:val="top"/>
          </w:tcPr>
          <w:p w14:paraId="40ACA1F8">
            <w:pPr>
              <w:pStyle w:val="5"/>
              <w:keepNext w:val="0"/>
              <w:keepLines w:val="0"/>
              <w:widowControl/>
              <w:suppressLineNumbers w:val="0"/>
              <w:spacing w:before="0" w:beforeAutospacing="0" w:after="0" w:afterAutospacing="0"/>
              <w:ind w:left="0" w:right="0"/>
              <w:jc w:val="center"/>
              <w:rPr>
                <w:rFonts w:hint="eastAsia" w:ascii="宋体" w:hAnsi="宋体" w:eastAsia="宋体" w:cs="宋体"/>
              </w:rPr>
            </w:pPr>
            <w:r>
              <w:rPr>
                <w:rFonts w:hint="eastAsia" w:ascii="宋体" w:hAnsi="宋体" w:eastAsia="宋体" w:cs="宋体"/>
              </w:rPr>
              <w:t>供应商完成交货、安装、调试及验收</w:t>
            </w:r>
          </w:p>
        </w:tc>
      </w:tr>
      <w:tr w14:paraId="3822E43F">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shd w:val="clear" w:color="auto" w:fill="auto"/>
          <w:tblCellMar>
            <w:top w:w="15" w:type="dxa"/>
            <w:left w:w="15" w:type="dxa"/>
            <w:bottom w:w="15" w:type="dxa"/>
            <w:right w:w="15" w:type="dxa"/>
          </w:tblCellMar>
        </w:tblPrEx>
        <w:tc>
          <w:tcPr>
            <w:tcW w:w="3700" w:type="dxa"/>
            <w:tcBorders>
              <w:top w:val="single" w:color="auto" w:sz="4" w:space="0"/>
              <w:left w:val="single" w:color="auto" w:sz="4" w:space="0"/>
              <w:bottom w:val="single" w:color="auto" w:sz="4" w:space="0"/>
              <w:right w:val="single" w:color="auto" w:sz="4" w:space="0"/>
            </w:tcBorders>
            <w:shd w:val="clear" w:color="auto" w:fill="auto"/>
            <w:vAlign w:val="top"/>
          </w:tcPr>
          <w:p w14:paraId="0DDD64CD">
            <w:pPr>
              <w:pStyle w:val="5"/>
              <w:keepNext w:val="0"/>
              <w:keepLines w:val="0"/>
              <w:widowControl/>
              <w:suppressLineNumbers w:val="0"/>
              <w:spacing w:before="0" w:beforeAutospacing="0" w:after="0" w:afterAutospacing="0"/>
              <w:ind w:left="0" w:right="0"/>
              <w:jc w:val="center"/>
              <w:rPr>
                <w:rFonts w:hint="eastAsia" w:ascii="宋体" w:hAnsi="宋体" w:eastAsia="宋体" w:cs="宋体"/>
              </w:rPr>
            </w:pPr>
            <w:r>
              <w:rPr>
                <w:rFonts w:hint="eastAsia" w:ascii="宋体" w:hAnsi="宋体" w:eastAsia="宋体" w:cs="宋体"/>
              </w:rPr>
              <w:t>师资培训</w:t>
            </w:r>
          </w:p>
        </w:tc>
        <w:tc>
          <w:tcPr>
            <w:tcW w:w="3700" w:type="dxa"/>
            <w:tcBorders>
              <w:top w:val="single" w:color="auto" w:sz="4" w:space="0"/>
              <w:left w:val="single" w:color="auto" w:sz="4" w:space="0"/>
              <w:bottom w:val="single" w:color="auto" w:sz="4" w:space="0"/>
              <w:right w:val="single" w:color="auto" w:sz="4" w:space="0"/>
            </w:tcBorders>
            <w:shd w:val="clear" w:color="auto" w:fill="auto"/>
            <w:vAlign w:val="top"/>
          </w:tcPr>
          <w:p w14:paraId="73E4F6A6">
            <w:pPr>
              <w:pStyle w:val="5"/>
              <w:keepNext w:val="0"/>
              <w:keepLines w:val="0"/>
              <w:widowControl/>
              <w:suppressLineNumbers w:val="0"/>
              <w:spacing w:before="0" w:beforeAutospacing="0" w:after="0" w:afterAutospacing="0"/>
              <w:ind w:left="0" w:right="0"/>
              <w:jc w:val="center"/>
              <w:rPr>
                <w:rFonts w:hint="eastAsia" w:ascii="宋体" w:hAnsi="宋体" w:eastAsia="宋体" w:cs="宋体"/>
              </w:rPr>
            </w:pPr>
            <w:r>
              <w:rPr>
                <w:rFonts w:hint="eastAsia" w:ascii="宋体" w:hAnsi="宋体" w:eastAsia="宋体" w:cs="宋体"/>
              </w:rPr>
              <w:t>2026年9月</w:t>
            </w:r>
          </w:p>
        </w:tc>
        <w:tc>
          <w:tcPr>
            <w:tcW w:w="3700" w:type="dxa"/>
            <w:tcBorders>
              <w:top w:val="single" w:color="auto" w:sz="4" w:space="0"/>
              <w:left w:val="single" w:color="auto" w:sz="4" w:space="0"/>
              <w:bottom w:val="single" w:color="auto" w:sz="4" w:space="0"/>
              <w:right w:val="single" w:color="auto" w:sz="4" w:space="0"/>
            </w:tcBorders>
            <w:shd w:val="clear" w:color="auto" w:fill="auto"/>
            <w:vAlign w:val="top"/>
          </w:tcPr>
          <w:p w14:paraId="79247DED">
            <w:pPr>
              <w:pStyle w:val="5"/>
              <w:keepNext w:val="0"/>
              <w:keepLines w:val="0"/>
              <w:widowControl/>
              <w:suppressLineNumbers w:val="0"/>
              <w:spacing w:before="0" w:beforeAutospacing="0" w:after="0" w:afterAutospacing="0"/>
              <w:ind w:left="0" w:right="0"/>
              <w:jc w:val="center"/>
              <w:rPr>
                <w:rFonts w:hint="eastAsia" w:ascii="宋体" w:hAnsi="宋体" w:eastAsia="宋体" w:cs="宋体"/>
              </w:rPr>
            </w:pPr>
            <w:r>
              <w:rPr>
                <w:rFonts w:hint="eastAsia" w:ascii="宋体" w:hAnsi="宋体" w:eastAsia="宋体" w:cs="宋体"/>
              </w:rPr>
              <w:t>完成不少于2天的设备操作及教学培训</w:t>
            </w:r>
          </w:p>
        </w:tc>
      </w:tr>
      <w:tr w14:paraId="2F0166DC">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shd w:val="clear" w:color="auto" w:fill="auto"/>
          <w:tblCellMar>
            <w:top w:w="15" w:type="dxa"/>
            <w:left w:w="15" w:type="dxa"/>
            <w:bottom w:w="15" w:type="dxa"/>
            <w:right w:w="15" w:type="dxa"/>
          </w:tblCellMar>
        </w:tblPrEx>
        <w:tc>
          <w:tcPr>
            <w:tcW w:w="3700" w:type="dxa"/>
            <w:tcBorders>
              <w:top w:val="single" w:color="auto" w:sz="4" w:space="0"/>
              <w:left w:val="single" w:color="auto" w:sz="4" w:space="0"/>
              <w:bottom w:val="single" w:color="auto" w:sz="4" w:space="0"/>
              <w:right w:val="single" w:color="auto" w:sz="4" w:space="0"/>
            </w:tcBorders>
            <w:shd w:val="clear" w:color="auto" w:fill="auto"/>
            <w:vAlign w:val="top"/>
          </w:tcPr>
          <w:p w14:paraId="3AF7B677">
            <w:pPr>
              <w:pStyle w:val="5"/>
              <w:keepNext w:val="0"/>
              <w:keepLines w:val="0"/>
              <w:widowControl/>
              <w:suppressLineNumbers w:val="0"/>
              <w:spacing w:before="0" w:beforeAutospacing="0" w:after="0" w:afterAutospacing="0"/>
              <w:ind w:left="0" w:right="0"/>
              <w:jc w:val="center"/>
              <w:rPr>
                <w:rFonts w:hint="eastAsia" w:ascii="宋体" w:hAnsi="宋体" w:eastAsia="宋体" w:cs="宋体"/>
              </w:rPr>
            </w:pPr>
            <w:r>
              <w:rPr>
                <w:rFonts w:hint="eastAsia" w:ascii="宋体" w:hAnsi="宋体" w:eastAsia="宋体" w:cs="宋体"/>
              </w:rPr>
              <w:t>正式投用</w:t>
            </w:r>
          </w:p>
        </w:tc>
        <w:tc>
          <w:tcPr>
            <w:tcW w:w="3700" w:type="dxa"/>
            <w:tcBorders>
              <w:top w:val="single" w:color="auto" w:sz="4" w:space="0"/>
              <w:left w:val="single" w:color="auto" w:sz="4" w:space="0"/>
              <w:bottom w:val="single" w:color="auto" w:sz="4" w:space="0"/>
              <w:right w:val="single" w:color="auto" w:sz="4" w:space="0"/>
            </w:tcBorders>
            <w:shd w:val="clear" w:color="auto" w:fill="auto"/>
            <w:vAlign w:val="top"/>
          </w:tcPr>
          <w:p w14:paraId="6D234115">
            <w:pPr>
              <w:pStyle w:val="5"/>
              <w:keepNext w:val="0"/>
              <w:keepLines w:val="0"/>
              <w:widowControl/>
              <w:suppressLineNumbers w:val="0"/>
              <w:spacing w:before="0" w:beforeAutospacing="0" w:after="0" w:afterAutospacing="0"/>
              <w:ind w:left="0" w:right="0"/>
              <w:jc w:val="center"/>
              <w:rPr>
                <w:rFonts w:hint="eastAsia" w:ascii="宋体" w:hAnsi="宋体" w:eastAsia="宋体" w:cs="宋体"/>
              </w:rPr>
            </w:pPr>
            <w:r>
              <w:rPr>
                <w:rFonts w:hint="eastAsia" w:ascii="宋体" w:hAnsi="宋体" w:eastAsia="宋体" w:cs="宋体"/>
              </w:rPr>
              <w:t>2026年9月</w:t>
            </w:r>
          </w:p>
        </w:tc>
        <w:tc>
          <w:tcPr>
            <w:tcW w:w="3700" w:type="dxa"/>
            <w:tcBorders>
              <w:top w:val="single" w:color="auto" w:sz="4" w:space="0"/>
              <w:left w:val="single" w:color="auto" w:sz="4" w:space="0"/>
              <w:bottom w:val="single" w:color="auto" w:sz="4" w:space="0"/>
              <w:right w:val="single" w:color="auto" w:sz="4" w:space="0"/>
            </w:tcBorders>
            <w:shd w:val="clear" w:color="auto" w:fill="auto"/>
            <w:vAlign w:val="top"/>
          </w:tcPr>
          <w:p w14:paraId="1E9E29DC">
            <w:pPr>
              <w:pStyle w:val="5"/>
              <w:keepNext w:val="0"/>
              <w:keepLines w:val="0"/>
              <w:widowControl/>
              <w:suppressLineNumbers w:val="0"/>
              <w:spacing w:before="0" w:beforeAutospacing="0" w:after="0" w:afterAutospacing="0"/>
              <w:ind w:left="0" w:right="0"/>
              <w:jc w:val="center"/>
              <w:rPr>
                <w:rFonts w:hint="eastAsia" w:ascii="宋体" w:hAnsi="宋体" w:eastAsia="宋体" w:cs="宋体"/>
              </w:rPr>
            </w:pPr>
            <w:r>
              <w:rPr>
                <w:rFonts w:hint="eastAsia" w:ascii="宋体" w:hAnsi="宋体" w:eastAsia="宋体" w:cs="宋体"/>
              </w:rPr>
              <w:t>投入日常教学及赛事训练使用</w:t>
            </w:r>
          </w:p>
        </w:tc>
      </w:tr>
    </w:tbl>
    <w:p w14:paraId="585AF06B">
      <w:pPr>
        <w:rPr>
          <w:rFonts w:hint="eastAsia" w:ascii="宋体" w:hAnsi="宋体" w:eastAsia="宋体" w:cs="宋体"/>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33E811"/>
    <w:multiLevelType w:val="multilevel"/>
    <w:tmpl w:val="8333E811"/>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9AE21FF"/>
    <w:rsid w:val="052C2F85"/>
    <w:rsid w:val="152F6EB4"/>
    <w:rsid w:val="19AE21FF"/>
    <w:rsid w:val="1BC17AB0"/>
    <w:rsid w:val="213A0410"/>
    <w:rsid w:val="3473547C"/>
    <w:rsid w:val="3A644F64"/>
    <w:rsid w:val="53BC416F"/>
    <w:rsid w:val="56BB06E2"/>
    <w:rsid w:val="651B358E"/>
    <w:rsid w:val="67220C6C"/>
    <w:rsid w:val="67EB3F9D"/>
    <w:rsid w:val="6A365180"/>
    <w:rsid w:val="7C0823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7">
    <w:name w:val="Default Paragraph Font"/>
    <w:semiHidden/>
    <w:qFormat/>
    <w:uiPriority w:val="0"/>
  </w:style>
  <w:style w:type="table" w:default="1" w:styleId="6">
    <w:name w:val="Normal Table"/>
    <w:semiHidden/>
    <w:uiPriority w:val="0"/>
    <w:tblPr>
      <w:tblCellMar>
        <w:top w:w="0" w:type="dxa"/>
        <w:left w:w="108" w:type="dxa"/>
        <w:bottom w:w="0" w:type="dxa"/>
        <w:right w:w="108" w:type="dxa"/>
      </w:tblCellMar>
    </w:tblPr>
  </w:style>
  <w:style w:type="paragraph" w:styleId="5">
    <w:name w:val="Normal (Web)"/>
    <w:basedOn w:val="1"/>
    <w:qFormat/>
    <w:uiPriority w:val="0"/>
    <w:rPr>
      <w:sz w:val="24"/>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1759</Words>
  <Characters>1825</Characters>
  <Lines>0</Lines>
  <Paragraphs>0</Paragraphs>
  <TotalTime>28</TotalTime>
  <ScaleCrop>false</ScaleCrop>
  <LinksUpToDate>false</LinksUpToDate>
  <CharactersWithSpaces>1826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2026-09-09T03:25:00Z</dcterms:created>
  <dc:creator>Andy</dc:creator>
  <cp:lastModifiedBy>付安平</cp:lastModifiedBy>
  <cp:lastPrinted>2026-09-09T07:13:00Z</cp:lastPrinted>
  <dcterms:modified xsi:type="dcterms:W3CDTF">2026-09-09T07:33:32Z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132F2DFE5B2044AE87159A5333A0DBCE_13</vt:lpwstr>
  </property>
  <property fmtid="{D5CDD505-2E9C-101B-9397-08002B2CF9AE}" pid="4" name="KSOTemplateDocerSaveRecord">
    <vt:lpwstr>eyJoZGlkIjoiNjBiZDdmY2JiNDY5MTk3YzBkNTE2N2ZkNzZjMWQxMTciLCJ1c2VySWQiOiIxNzY0OTMyOTkyIn0=</vt:lpwstr>
  </property>
</Properties>
</file>