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5F6933">
      <w:pPr>
        <w:jc w:val="center"/>
        <w:rPr>
          <w:rFonts w:ascii="黑体" w:hAnsi="黑体" w:eastAsia="黑体"/>
          <w:b/>
          <w:bCs/>
          <w:sz w:val="36"/>
          <w:szCs w:val="36"/>
        </w:rPr>
      </w:pPr>
      <w:bookmarkStart w:id="0" w:name="_Toc30153"/>
      <w:r>
        <w:rPr>
          <w:rFonts w:hint="eastAsia" w:ascii="黑体" w:hAnsi="黑体" w:eastAsia="黑体"/>
          <w:b/>
          <w:bCs/>
          <w:sz w:val="36"/>
          <w:szCs w:val="36"/>
        </w:rPr>
        <w:t>深圳市第二实验学校</w:t>
      </w:r>
    </w:p>
    <w:p w14:paraId="0FC8F495">
      <w:pPr>
        <w:spacing w:line="460" w:lineRule="atLeast"/>
        <w:jc w:val="center"/>
        <w:outlineLvl w:val="1"/>
        <w:rPr>
          <w:rFonts w:ascii="黑体" w:hAnsi="黑体" w:eastAsia="黑体"/>
          <w:b/>
          <w:bCs/>
          <w:sz w:val="36"/>
          <w:szCs w:val="36"/>
        </w:rPr>
      </w:pPr>
      <w:bookmarkStart w:id="1" w:name="OLE_LINK260"/>
      <w:bookmarkStart w:id="2" w:name="OLE_LINK259"/>
      <w:bookmarkStart w:id="3" w:name="OLE_LINK258"/>
      <w:bookmarkStart w:id="4" w:name="OLE_LINK257"/>
      <w:r>
        <w:rPr>
          <w:rFonts w:hint="eastAsia" w:ascii="黑体" w:hAnsi="黑体" w:eastAsia="黑体"/>
          <w:b/>
          <w:bCs/>
          <w:sz w:val="36"/>
          <w:szCs w:val="36"/>
        </w:rPr>
        <w:t>2026 年财务报账系统对接服务项目需求</w:t>
      </w:r>
      <w:bookmarkEnd w:id="1"/>
      <w:bookmarkEnd w:id="2"/>
      <w:bookmarkEnd w:id="3"/>
      <w:bookmarkEnd w:id="4"/>
    </w:p>
    <w:p w14:paraId="4CD468E6">
      <w:pPr>
        <w:pStyle w:val="2"/>
      </w:pPr>
    </w:p>
    <w:p w14:paraId="06FC0D9D">
      <w:pPr>
        <w:pStyle w:val="17"/>
        <w:numPr>
          <w:ilvl w:val="0"/>
          <w:numId w:val="1"/>
        </w:numPr>
        <w:tabs>
          <w:tab w:val="left" w:pos="567"/>
        </w:tabs>
        <w:spacing w:line="360" w:lineRule="auto"/>
        <w:ind w:firstLineChars="0"/>
        <w:outlineLvl w:val="1"/>
        <w:rPr>
          <w:rFonts w:ascii="宋体" w:hAnsi="宋体" w:cs="宋体"/>
          <w:b/>
          <w:bCs/>
          <w:sz w:val="28"/>
          <w:szCs w:val="28"/>
        </w:rPr>
      </w:pPr>
      <w:r>
        <w:rPr>
          <w:rFonts w:hint="eastAsia" w:ascii="宋体" w:hAnsi="宋体" w:cs="宋体"/>
          <w:b/>
          <w:bCs/>
          <w:sz w:val="28"/>
          <w:szCs w:val="28"/>
        </w:rPr>
        <w:t>项目</w:t>
      </w:r>
      <w:bookmarkEnd w:id="0"/>
      <w:r>
        <w:rPr>
          <w:rFonts w:hint="eastAsia" w:ascii="宋体" w:hAnsi="宋体" w:cs="宋体"/>
          <w:b/>
          <w:bCs/>
          <w:sz w:val="28"/>
          <w:szCs w:val="28"/>
        </w:rPr>
        <w:t>概况</w:t>
      </w:r>
    </w:p>
    <w:p w14:paraId="10B2392F">
      <w:pPr>
        <w:spacing w:line="360" w:lineRule="auto"/>
        <w:ind w:firstLine="480" w:firstLineChars="200"/>
        <w:rPr>
          <w:rFonts w:hint="eastAsia" w:ascii="宋体" w:hAnsi="宋体" w:cs="宋体"/>
          <w:sz w:val="24"/>
          <w:lang w:bidi="ar"/>
        </w:rPr>
      </w:pPr>
      <w:bookmarkStart w:id="5" w:name="OLE_LINK55"/>
      <w:bookmarkStart w:id="6" w:name="OLE_LINK53"/>
      <w:bookmarkStart w:id="7" w:name="OLE_LINK54"/>
      <w:r>
        <w:rPr>
          <w:rFonts w:hint="eastAsia" w:ascii="宋体" w:hAnsi="宋体" w:cs="宋体"/>
          <w:sz w:val="24"/>
          <w:lang w:bidi="ar"/>
        </w:rPr>
        <w:t>为保障学校数字化办公平台与财务报账系统数据互通、业务协同，确保财务报账业务有序、顺畅开展，常态化开展接口开发、数据联调、测试验证、异常处置及应急技术支撑等对接服务工作；结合学校实际报账业务与对接需求，本次拟开展学校数字化办公平台与财务报账系统对接服务采购工作，择优遴选专业服务商承接相关对接服务工作。</w:t>
      </w:r>
    </w:p>
    <w:bookmarkEnd w:id="5"/>
    <w:bookmarkEnd w:id="6"/>
    <w:bookmarkEnd w:id="7"/>
    <w:p w14:paraId="3F37E4B4">
      <w:pPr>
        <w:pStyle w:val="17"/>
        <w:numPr>
          <w:ilvl w:val="0"/>
          <w:numId w:val="1"/>
        </w:numPr>
        <w:tabs>
          <w:tab w:val="left" w:pos="567"/>
        </w:tabs>
        <w:spacing w:line="360" w:lineRule="auto"/>
        <w:ind w:firstLineChars="0"/>
        <w:outlineLvl w:val="1"/>
        <w:rPr>
          <w:rFonts w:ascii="宋体" w:hAnsi="宋体" w:cs="宋体"/>
          <w:b/>
          <w:bCs/>
          <w:sz w:val="28"/>
          <w:szCs w:val="28"/>
        </w:rPr>
      </w:pPr>
      <w:r>
        <w:rPr>
          <w:rFonts w:hint="eastAsia" w:ascii="宋体" w:hAnsi="宋体" w:cs="宋体"/>
          <w:b/>
          <w:bCs/>
          <w:sz w:val="28"/>
          <w:szCs w:val="28"/>
        </w:rPr>
        <w:t>项目服务内容</w:t>
      </w:r>
    </w:p>
    <w:tbl>
      <w:tblPr>
        <w:tblStyle w:val="10"/>
        <w:tblW w:w="82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2064"/>
        <w:gridCol w:w="5348"/>
      </w:tblGrid>
      <w:tr w14:paraId="45FCC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6" w:type="dxa"/>
            <w:tcBorders>
              <w:bottom w:val="single" w:color="auto" w:sz="4" w:space="0"/>
            </w:tcBorders>
            <w:shd w:val="clear" w:color="auto" w:fill="D8D8D8"/>
            <w:vAlign w:val="center"/>
          </w:tcPr>
          <w:p w14:paraId="5402A14E">
            <w:pPr>
              <w:jc w:val="center"/>
              <w:rPr>
                <w:rFonts w:asciiTheme="minorEastAsia" w:hAnsiTheme="minorEastAsia" w:eastAsiaTheme="minorEastAsia"/>
                <w:b/>
                <w:szCs w:val="21"/>
              </w:rPr>
            </w:pPr>
            <w:bookmarkStart w:id="8" w:name="_Hlk239425702"/>
            <w:r>
              <w:rPr>
                <w:rFonts w:hint="eastAsia" w:asciiTheme="minorEastAsia" w:hAnsiTheme="minorEastAsia" w:eastAsiaTheme="minorEastAsia"/>
                <w:b/>
                <w:szCs w:val="21"/>
              </w:rPr>
              <w:t>序号</w:t>
            </w:r>
          </w:p>
        </w:tc>
        <w:tc>
          <w:tcPr>
            <w:tcW w:w="2064" w:type="dxa"/>
            <w:tcBorders>
              <w:bottom w:val="single" w:color="auto" w:sz="4" w:space="0"/>
            </w:tcBorders>
            <w:shd w:val="clear" w:color="auto" w:fill="D8D8D8"/>
            <w:vAlign w:val="center"/>
          </w:tcPr>
          <w:p w14:paraId="03F30322">
            <w:pPr>
              <w:jc w:val="center"/>
              <w:rPr>
                <w:rFonts w:asciiTheme="minorEastAsia" w:hAnsiTheme="minorEastAsia" w:eastAsiaTheme="minorEastAsia"/>
                <w:b/>
                <w:szCs w:val="21"/>
              </w:rPr>
            </w:pPr>
            <w:r>
              <w:rPr>
                <w:rFonts w:hint="eastAsia" w:asciiTheme="minorEastAsia" w:hAnsiTheme="minorEastAsia" w:eastAsiaTheme="minorEastAsia"/>
                <w:b/>
                <w:szCs w:val="21"/>
              </w:rPr>
              <w:t>工作事项</w:t>
            </w:r>
          </w:p>
        </w:tc>
        <w:tc>
          <w:tcPr>
            <w:tcW w:w="5348" w:type="dxa"/>
            <w:tcBorders>
              <w:bottom w:val="single" w:color="auto" w:sz="4" w:space="0"/>
            </w:tcBorders>
            <w:shd w:val="clear" w:color="auto" w:fill="D8D8D8"/>
            <w:vAlign w:val="center"/>
          </w:tcPr>
          <w:p w14:paraId="1CCBE201">
            <w:pPr>
              <w:jc w:val="center"/>
              <w:rPr>
                <w:rFonts w:asciiTheme="minorEastAsia" w:hAnsiTheme="minorEastAsia" w:eastAsiaTheme="minorEastAsia"/>
                <w:b/>
                <w:szCs w:val="21"/>
              </w:rPr>
            </w:pPr>
            <w:r>
              <w:rPr>
                <w:rFonts w:hint="eastAsia" w:asciiTheme="minorEastAsia" w:hAnsiTheme="minorEastAsia" w:eastAsiaTheme="minorEastAsia"/>
                <w:b/>
                <w:szCs w:val="21"/>
              </w:rPr>
              <w:t>工作内容</w:t>
            </w:r>
          </w:p>
        </w:tc>
      </w:tr>
      <w:tr w14:paraId="4E8F5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6" w:type="dxa"/>
            <w:vAlign w:val="center"/>
          </w:tcPr>
          <w:p w14:paraId="3F3DBCB9">
            <w:pPr>
              <w:jc w:val="center"/>
              <w:rPr>
                <w:rFonts w:asciiTheme="minorEastAsia" w:hAnsiTheme="minorEastAsia" w:eastAsiaTheme="minorEastAsia"/>
                <w:szCs w:val="21"/>
              </w:rPr>
            </w:pPr>
            <w:r>
              <w:rPr>
                <w:rFonts w:hint="eastAsia" w:asciiTheme="minorEastAsia" w:hAnsiTheme="minorEastAsia" w:eastAsiaTheme="minorEastAsia"/>
                <w:szCs w:val="21"/>
              </w:rPr>
              <w:t>1</w:t>
            </w:r>
          </w:p>
        </w:tc>
        <w:tc>
          <w:tcPr>
            <w:tcW w:w="2064" w:type="dxa"/>
            <w:vAlign w:val="center"/>
          </w:tcPr>
          <w:p w14:paraId="3E7DD980">
            <w:pPr>
              <w:jc w:val="center"/>
              <w:rPr>
                <w:rFonts w:asciiTheme="minorEastAsia" w:hAnsiTheme="minorEastAsia" w:eastAsiaTheme="minorEastAsia"/>
                <w:szCs w:val="21"/>
              </w:rPr>
            </w:pPr>
            <w:bookmarkStart w:id="9" w:name="OLE_LINK249"/>
            <w:bookmarkStart w:id="10" w:name="OLE_LINK250"/>
            <w:bookmarkStart w:id="11" w:name="OLE_LINK251"/>
            <w:r>
              <w:rPr>
                <w:rFonts w:hint="eastAsia"/>
              </w:rPr>
              <w:t>获取报账年份接口对接</w:t>
            </w:r>
            <w:bookmarkEnd w:id="9"/>
            <w:bookmarkEnd w:id="10"/>
            <w:bookmarkEnd w:id="11"/>
          </w:p>
        </w:tc>
        <w:tc>
          <w:tcPr>
            <w:tcW w:w="5348" w:type="dxa"/>
            <w:vAlign w:val="center"/>
          </w:tcPr>
          <w:p w14:paraId="7D0DEA99">
            <w:pPr>
              <w:rPr>
                <w:rFonts w:asciiTheme="minorEastAsia" w:hAnsiTheme="minorEastAsia" w:eastAsiaTheme="minorEastAsia"/>
                <w:szCs w:val="21"/>
              </w:rPr>
            </w:pPr>
            <w:bookmarkStart w:id="12" w:name="OLE_LINK18"/>
            <w:bookmarkStart w:id="13" w:name="OLE_LINK17"/>
            <w:r>
              <w:rPr>
                <w:rFonts w:hint="eastAsia"/>
              </w:rPr>
              <w:t>财务报账系统提供报账年份获取接口，数字化办公系统发起接口调用，接收并解析返回数据；完成接口参数适配、联调调试、数据校验及业务结果确认。</w:t>
            </w:r>
            <w:bookmarkEnd w:id="12"/>
            <w:bookmarkEnd w:id="13"/>
          </w:p>
        </w:tc>
      </w:tr>
      <w:tr w14:paraId="54D86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6" w:type="dxa"/>
            <w:vAlign w:val="center"/>
          </w:tcPr>
          <w:p w14:paraId="02D6EBAC">
            <w:pPr>
              <w:jc w:val="center"/>
              <w:rPr>
                <w:rFonts w:hint="eastAsia" w:asciiTheme="minorEastAsia" w:hAnsiTheme="minorEastAsia" w:eastAsiaTheme="minorEastAsia"/>
                <w:szCs w:val="21"/>
              </w:rPr>
            </w:pPr>
            <w:r>
              <w:rPr>
                <w:rFonts w:hint="eastAsia" w:asciiTheme="minorEastAsia" w:hAnsiTheme="minorEastAsia" w:eastAsiaTheme="minorEastAsia"/>
                <w:szCs w:val="21"/>
              </w:rPr>
              <w:t>2</w:t>
            </w:r>
          </w:p>
        </w:tc>
        <w:tc>
          <w:tcPr>
            <w:tcW w:w="2064" w:type="dxa"/>
            <w:vAlign w:val="center"/>
          </w:tcPr>
          <w:p w14:paraId="0A1BE3FA">
            <w:pPr>
              <w:jc w:val="center"/>
              <w:rPr>
                <w:rFonts w:hint="eastAsia" w:asciiTheme="minorEastAsia" w:hAnsiTheme="minorEastAsia" w:eastAsiaTheme="minorEastAsia"/>
                <w:szCs w:val="21"/>
              </w:rPr>
            </w:pPr>
            <w:r>
              <w:rPr>
                <w:rFonts w:hint="eastAsia"/>
              </w:rPr>
              <w:t>获取报账指标接口对接</w:t>
            </w:r>
          </w:p>
        </w:tc>
        <w:tc>
          <w:tcPr>
            <w:tcW w:w="5348" w:type="dxa"/>
            <w:vAlign w:val="center"/>
          </w:tcPr>
          <w:p w14:paraId="6B05B407">
            <w:pPr>
              <w:rPr>
                <w:rFonts w:hint="eastAsia" w:cs="宋体" w:asciiTheme="minorEastAsia" w:hAnsiTheme="minorEastAsia" w:eastAsiaTheme="minorEastAsia"/>
                <w:szCs w:val="21"/>
              </w:rPr>
            </w:pPr>
            <w:r>
              <w:rPr>
                <w:rFonts w:hint="eastAsia"/>
              </w:rPr>
              <w:t>财务报账系统提供报账指标获取接口，</w:t>
            </w:r>
            <w:bookmarkStart w:id="14" w:name="OLE_LINK28"/>
            <w:bookmarkStart w:id="15" w:name="OLE_LINK27"/>
            <w:r>
              <w:rPr>
                <w:rFonts w:hint="eastAsia"/>
              </w:rPr>
              <w:t>数字化办公系统发起接口调用，接收并解析返回数据；完成接口参数适配、联调调试、数据校验及业务结果确认。</w:t>
            </w:r>
            <w:bookmarkEnd w:id="14"/>
            <w:bookmarkEnd w:id="15"/>
          </w:p>
        </w:tc>
      </w:tr>
      <w:tr w14:paraId="343AA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6" w:type="dxa"/>
            <w:vAlign w:val="center"/>
          </w:tcPr>
          <w:p w14:paraId="34B0B40F">
            <w:pPr>
              <w:jc w:val="center"/>
              <w:rPr>
                <w:rFonts w:hint="eastAsia" w:asciiTheme="minorEastAsia" w:hAnsiTheme="minorEastAsia" w:eastAsiaTheme="minorEastAsia"/>
                <w:szCs w:val="21"/>
              </w:rPr>
            </w:pPr>
            <w:r>
              <w:rPr>
                <w:rFonts w:hint="eastAsia" w:asciiTheme="minorEastAsia" w:hAnsiTheme="minorEastAsia" w:eastAsiaTheme="minorEastAsia"/>
                <w:szCs w:val="21"/>
              </w:rPr>
              <w:t>3</w:t>
            </w:r>
          </w:p>
        </w:tc>
        <w:tc>
          <w:tcPr>
            <w:tcW w:w="2064" w:type="dxa"/>
            <w:vAlign w:val="center"/>
          </w:tcPr>
          <w:p w14:paraId="79F86A1A">
            <w:pPr>
              <w:jc w:val="center"/>
              <w:rPr>
                <w:rFonts w:hint="eastAsia" w:asciiTheme="minorEastAsia" w:hAnsiTheme="minorEastAsia" w:eastAsiaTheme="minorEastAsia"/>
                <w:szCs w:val="21"/>
              </w:rPr>
            </w:pPr>
            <w:r>
              <w:rPr>
                <w:rFonts w:hint="eastAsia"/>
              </w:rPr>
              <w:t>财务主任推送经费使用接口对接</w:t>
            </w:r>
          </w:p>
        </w:tc>
        <w:tc>
          <w:tcPr>
            <w:tcW w:w="5348" w:type="dxa"/>
            <w:vAlign w:val="center"/>
          </w:tcPr>
          <w:p w14:paraId="4A0B72A9">
            <w:pPr>
              <w:rPr>
                <w:rFonts w:hint="eastAsia" w:cs="宋体" w:asciiTheme="minorEastAsia" w:hAnsiTheme="minorEastAsia" w:eastAsiaTheme="minorEastAsia"/>
                <w:szCs w:val="21"/>
              </w:rPr>
            </w:pPr>
            <w:bookmarkStart w:id="16" w:name="OLE_LINK20"/>
            <w:bookmarkStart w:id="17" w:name="OLE_LINK19"/>
            <w:r>
              <w:rPr>
                <w:rFonts w:hint="eastAsia"/>
              </w:rPr>
              <w:t>财务报账系统对外开放经费使用推送接口；数字化办公系统在财务主任完成报账指标选定后，按照接口规范进行报文组装，调用接口完成经费指标数据推送，并开展接口联调与数据有效性校验。</w:t>
            </w:r>
            <w:bookmarkEnd w:id="16"/>
            <w:bookmarkEnd w:id="17"/>
          </w:p>
        </w:tc>
      </w:tr>
      <w:tr w14:paraId="16318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6" w:type="dxa"/>
            <w:vAlign w:val="center"/>
          </w:tcPr>
          <w:p w14:paraId="4A02AFB0">
            <w:pPr>
              <w:jc w:val="center"/>
              <w:rPr>
                <w:rFonts w:hint="eastAsia" w:asciiTheme="minorEastAsia" w:hAnsiTheme="minorEastAsia" w:eastAsiaTheme="minorEastAsia"/>
                <w:szCs w:val="21"/>
              </w:rPr>
            </w:pPr>
            <w:r>
              <w:rPr>
                <w:rFonts w:hint="eastAsia" w:asciiTheme="minorEastAsia" w:hAnsiTheme="minorEastAsia" w:eastAsiaTheme="minorEastAsia"/>
                <w:szCs w:val="21"/>
              </w:rPr>
              <w:t>4</w:t>
            </w:r>
          </w:p>
        </w:tc>
        <w:tc>
          <w:tcPr>
            <w:tcW w:w="2064" w:type="dxa"/>
            <w:vAlign w:val="center"/>
          </w:tcPr>
          <w:p w14:paraId="641AE234">
            <w:pPr>
              <w:jc w:val="center"/>
              <w:rPr>
                <w:rFonts w:hint="eastAsia" w:asciiTheme="minorEastAsia" w:hAnsiTheme="minorEastAsia" w:eastAsiaTheme="minorEastAsia"/>
                <w:szCs w:val="21"/>
              </w:rPr>
            </w:pPr>
            <w:r>
              <w:rPr>
                <w:rFonts w:hint="eastAsia"/>
              </w:rPr>
              <w:t>推送</w:t>
            </w:r>
            <w:bookmarkStart w:id="18" w:name="OLE_LINK21"/>
            <w:r>
              <w:rPr>
                <w:rFonts w:hint="eastAsia"/>
              </w:rPr>
              <w:t>第三方</w:t>
            </w:r>
            <w:bookmarkEnd w:id="18"/>
            <w:r>
              <w:rPr>
                <w:rFonts w:hint="eastAsia"/>
              </w:rPr>
              <w:t>招投标接口对接</w:t>
            </w:r>
          </w:p>
        </w:tc>
        <w:tc>
          <w:tcPr>
            <w:tcW w:w="5348" w:type="dxa"/>
            <w:vAlign w:val="center"/>
          </w:tcPr>
          <w:p w14:paraId="7664DAFA">
            <w:pPr>
              <w:rPr>
                <w:rFonts w:hint="eastAsia" w:cs="宋体" w:asciiTheme="minorEastAsia" w:hAnsiTheme="minorEastAsia" w:eastAsiaTheme="minorEastAsia"/>
                <w:szCs w:val="21"/>
              </w:rPr>
            </w:pPr>
            <w:r>
              <w:rPr>
                <w:rFonts w:hint="eastAsia"/>
              </w:rPr>
              <w:t>财务报账系统对外开放第三方招投标推送接口；数字化办公系统在财务主任完成报账指标选定后，按照接口规范进行报文组装，调用接口完成第三方招投标指标数据推送，并开展接口联调与数据有效性校验。</w:t>
            </w:r>
          </w:p>
        </w:tc>
      </w:tr>
      <w:tr w14:paraId="3A497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6" w:type="dxa"/>
            <w:vAlign w:val="center"/>
          </w:tcPr>
          <w:p w14:paraId="240B4987">
            <w:pPr>
              <w:jc w:val="center"/>
              <w:rPr>
                <w:rFonts w:hint="eastAsia" w:asciiTheme="minorEastAsia" w:hAnsiTheme="minorEastAsia" w:eastAsiaTheme="minorEastAsia"/>
                <w:szCs w:val="21"/>
              </w:rPr>
            </w:pPr>
            <w:r>
              <w:rPr>
                <w:rFonts w:hint="eastAsia" w:asciiTheme="minorEastAsia" w:hAnsiTheme="minorEastAsia" w:eastAsiaTheme="minorEastAsia"/>
                <w:szCs w:val="21"/>
              </w:rPr>
              <w:t>5</w:t>
            </w:r>
          </w:p>
        </w:tc>
        <w:tc>
          <w:tcPr>
            <w:tcW w:w="2064" w:type="dxa"/>
            <w:vAlign w:val="center"/>
          </w:tcPr>
          <w:p w14:paraId="6010947C">
            <w:pPr>
              <w:jc w:val="center"/>
              <w:rPr>
                <w:rFonts w:hint="eastAsia"/>
              </w:rPr>
            </w:pPr>
            <w:r>
              <w:rPr>
                <w:rFonts w:hint="eastAsia"/>
              </w:rPr>
              <w:t>推送校内招投标接口对接</w:t>
            </w:r>
          </w:p>
        </w:tc>
        <w:tc>
          <w:tcPr>
            <w:tcW w:w="5348" w:type="dxa"/>
            <w:vAlign w:val="center"/>
          </w:tcPr>
          <w:p w14:paraId="771D4E15">
            <w:pPr>
              <w:rPr>
                <w:rFonts w:hint="eastAsia"/>
              </w:rPr>
            </w:pPr>
            <w:r>
              <w:rPr>
                <w:rFonts w:hint="eastAsia"/>
              </w:rPr>
              <w:t>财务报账系统对外开放校内招投标推送接口；数字化办公系统在财务主任完成报账指标选定后，按照接口规范进行报文组装，调用接口完成校内招投标指标数据推送，并开展接口联调与数据有效性校验。</w:t>
            </w:r>
          </w:p>
        </w:tc>
      </w:tr>
      <w:tr w14:paraId="67762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6" w:type="dxa"/>
            <w:vAlign w:val="center"/>
          </w:tcPr>
          <w:p w14:paraId="6C0CBC28">
            <w:pPr>
              <w:jc w:val="center"/>
              <w:rPr>
                <w:rFonts w:hint="eastAsia" w:asciiTheme="minorEastAsia" w:hAnsiTheme="minorEastAsia" w:eastAsiaTheme="minorEastAsia"/>
                <w:szCs w:val="21"/>
              </w:rPr>
            </w:pPr>
            <w:r>
              <w:rPr>
                <w:rFonts w:hint="eastAsia" w:asciiTheme="minorEastAsia" w:hAnsiTheme="minorEastAsia" w:eastAsiaTheme="minorEastAsia"/>
                <w:szCs w:val="21"/>
              </w:rPr>
              <w:t>6</w:t>
            </w:r>
          </w:p>
        </w:tc>
        <w:tc>
          <w:tcPr>
            <w:tcW w:w="2064" w:type="dxa"/>
            <w:vAlign w:val="center"/>
          </w:tcPr>
          <w:p w14:paraId="3F9B38D3">
            <w:pPr>
              <w:jc w:val="center"/>
              <w:rPr>
                <w:rFonts w:hint="eastAsia" w:asciiTheme="minorEastAsia" w:hAnsiTheme="minorEastAsia" w:eastAsiaTheme="minorEastAsia"/>
                <w:szCs w:val="21"/>
              </w:rPr>
            </w:pPr>
            <w:r>
              <w:rPr>
                <w:rFonts w:hint="eastAsia"/>
              </w:rPr>
              <w:t>推送办理结果接口对接</w:t>
            </w:r>
          </w:p>
        </w:tc>
        <w:tc>
          <w:tcPr>
            <w:tcW w:w="5348" w:type="dxa"/>
            <w:vAlign w:val="center"/>
          </w:tcPr>
          <w:p w14:paraId="40DFDEE1">
            <w:pPr>
              <w:rPr>
                <w:rFonts w:hint="eastAsia" w:cs="宋体" w:asciiTheme="minorEastAsia" w:hAnsiTheme="minorEastAsia" w:eastAsiaTheme="minorEastAsia"/>
                <w:szCs w:val="21"/>
              </w:rPr>
            </w:pPr>
            <w:bookmarkStart w:id="19" w:name="OLE_LINK23"/>
            <w:bookmarkStart w:id="20" w:name="OLE_LINK22"/>
            <w:r>
              <w:rPr>
                <w:rFonts w:hint="eastAsia"/>
              </w:rPr>
              <w:t>财务报账系统开放办理结果数据推送接口；数字化办公系统业务流程办结后，依据接口标准规范组装报文，调用接口将审批流程办理意见同步推送至财务报账系统。</w:t>
            </w:r>
            <w:bookmarkEnd w:id="19"/>
            <w:bookmarkEnd w:id="20"/>
          </w:p>
        </w:tc>
      </w:tr>
      <w:tr w14:paraId="2C3FF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6" w:type="dxa"/>
            <w:vAlign w:val="center"/>
          </w:tcPr>
          <w:p w14:paraId="6BE05530">
            <w:pPr>
              <w:jc w:val="center"/>
              <w:rPr>
                <w:rFonts w:asciiTheme="minorEastAsia" w:hAnsiTheme="minorEastAsia" w:eastAsiaTheme="minorEastAsia"/>
                <w:szCs w:val="21"/>
              </w:rPr>
            </w:pPr>
            <w:r>
              <w:rPr>
                <w:rFonts w:hint="eastAsia" w:asciiTheme="minorEastAsia" w:hAnsiTheme="minorEastAsia" w:eastAsiaTheme="minorEastAsia"/>
                <w:szCs w:val="21"/>
              </w:rPr>
              <w:t>7</w:t>
            </w:r>
          </w:p>
        </w:tc>
        <w:tc>
          <w:tcPr>
            <w:tcW w:w="2064" w:type="dxa"/>
            <w:vAlign w:val="center"/>
          </w:tcPr>
          <w:p w14:paraId="18310874">
            <w:pPr>
              <w:jc w:val="center"/>
              <w:rPr>
                <w:rFonts w:asciiTheme="minorEastAsia" w:hAnsiTheme="minorEastAsia" w:eastAsiaTheme="minorEastAsia"/>
                <w:szCs w:val="21"/>
              </w:rPr>
            </w:pPr>
            <w:r>
              <w:rPr>
                <w:rFonts w:hint="eastAsia"/>
              </w:rPr>
              <w:t>删除和退回财务指标接口对接</w:t>
            </w:r>
          </w:p>
        </w:tc>
        <w:tc>
          <w:tcPr>
            <w:tcW w:w="5348" w:type="dxa"/>
            <w:vAlign w:val="center"/>
          </w:tcPr>
          <w:p w14:paraId="2C1E00EA">
            <w:pPr>
              <w:rPr>
                <w:rFonts w:cs="宋体" w:asciiTheme="minorEastAsia" w:hAnsiTheme="minorEastAsia" w:eastAsiaTheme="minorEastAsia"/>
                <w:szCs w:val="21"/>
              </w:rPr>
            </w:pPr>
            <w:bookmarkStart w:id="21" w:name="OLE_LINK24"/>
            <w:bookmarkStart w:id="22" w:name="OLE_LINK25"/>
            <w:r>
              <w:rPr>
                <w:rFonts w:hint="eastAsia"/>
              </w:rPr>
              <w:t>财务报账系统开放财务指标删除、退回专用接口；数字化办公系统在业务表单删除后，可同步调用该接口，向财务报账系统同步执行财务指标删除与退回操作，保障两端财务数据一致。</w:t>
            </w:r>
            <w:bookmarkEnd w:id="21"/>
            <w:bookmarkEnd w:id="22"/>
          </w:p>
        </w:tc>
      </w:tr>
      <w:tr w14:paraId="7BC00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6" w:type="dxa"/>
            <w:tcBorders>
              <w:bottom w:val="single" w:color="auto" w:sz="4" w:space="0"/>
            </w:tcBorders>
            <w:vAlign w:val="center"/>
          </w:tcPr>
          <w:p w14:paraId="2C57482A">
            <w:pPr>
              <w:jc w:val="center"/>
              <w:rPr>
                <w:rFonts w:asciiTheme="minorEastAsia" w:hAnsiTheme="minorEastAsia" w:eastAsiaTheme="minorEastAsia"/>
                <w:szCs w:val="21"/>
              </w:rPr>
            </w:pPr>
            <w:r>
              <w:rPr>
                <w:rFonts w:hint="eastAsia" w:asciiTheme="minorEastAsia" w:hAnsiTheme="minorEastAsia" w:eastAsiaTheme="minorEastAsia"/>
                <w:szCs w:val="21"/>
              </w:rPr>
              <w:t>8</w:t>
            </w:r>
          </w:p>
        </w:tc>
        <w:tc>
          <w:tcPr>
            <w:tcW w:w="2064" w:type="dxa"/>
            <w:tcBorders>
              <w:bottom w:val="single" w:color="auto" w:sz="4" w:space="0"/>
            </w:tcBorders>
            <w:vAlign w:val="center"/>
          </w:tcPr>
          <w:p w14:paraId="2B783379">
            <w:pPr>
              <w:jc w:val="center"/>
              <w:rPr>
                <w:rFonts w:asciiTheme="minorEastAsia" w:hAnsiTheme="minorEastAsia" w:eastAsiaTheme="minorEastAsia"/>
                <w:szCs w:val="21"/>
              </w:rPr>
            </w:pPr>
            <w:r>
              <w:rPr>
                <w:rFonts w:hint="eastAsia"/>
              </w:rPr>
              <w:t>退回删除处理意见接口对接</w:t>
            </w:r>
          </w:p>
        </w:tc>
        <w:tc>
          <w:tcPr>
            <w:tcW w:w="5348" w:type="dxa"/>
            <w:tcBorders>
              <w:bottom w:val="single" w:color="auto" w:sz="4" w:space="0"/>
            </w:tcBorders>
            <w:vAlign w:val="center"/>
          </w:tcPr>
          <w:p w14:paraId="3D5B75FC">
            <w:pPr>
              <w:rPr>
                <w:rFonts w:cs="宋体" w:asciiTheme="minorEastAsia" w:hAnsiTheme="minorEastAsia" w:eastAsiaTheme="minorEastAsia"/>
                <w:szCs w:val="21"/>
              </w:rPr>
            </w:pPr>
            <w:bookmarkStart w:id="23" w:name="OLE_LINK26"/>
            <w:r>
              <w:rPr>
                <w:rFonts w:hint="eastAsia"/>
              </w:rPr>
              <w:t>财务报账系统开放退回删除处理意见同步接口；当数字化办公系统业务表单退回至财务主任前置审批环节时，系统自动调用该接口，同步更新财务报账系统处理意见</w:t>
            </w:r>
            <w:bookmarkEnd w:id="23"/>
            <w:r>
              <w:rPr>
                <w:rFonts w:hint="eastAsia"/>
              </w:rPr>
              <w:t>。</w:t>
            </w:r>
          </w:p>
        </w:tc>
      </w:tr>
      <w:tr w14:paraId="19E32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6" w:type="dxa"/>
            <w:vAlign w:val="center"/>
          </w:tcPr>
          <w:p w14:paraId="4C386DB9">
            <w:pPr>
              <w:jc w:val="center"/>
              <w:rPr>
                <w:rFonts w:hint="eastAsia" w:asciiTheme="minorEastAsia" w:hAnsiTheme="minorEastAsia" w:eastAsiaTheme="minorEastAsia"/>
                <w:szCs w:val="21"/>
              </w:rPr>
            </w:pPr>
            <w:r>
              <w:rPr>
                <w:rFonts w:hint="eastAsia" w:asciiTheme="minorEastAsia" w:hAnsiTheme="minorEastAsia" w:eastAsiaTheme="minorEastAsia"/>
                <w:szCs w:val="21"/>
              </w:rPr>
              <w:t>9</w:t>
            </w:r>
          </w:p>
        </w:tc>
        <w:tc>
          <w:tcPr>
            <w:tcW w:w="2064" w:type="dxa"/>
            <w:vAlign w:val="center"/>
          </w:tcPr>
          <w:p w14:paraId="2BD62E12">
            <w:pPr>
              <w:jc w:val="center"/>
              <w:rPr>
                <w:rFonts w:hint="eastAsia" w:asciiTheme="minorEastAsia" w:hAnsiTheme="minorEastAsia" w:eastAsiaTheme="minorEastAsia"/>
                <w:szCs w:val="21"/>
              </w:rPr>
            </w:pPr>
            <w:r>
              <w:rPr>
                <w:rFonts w:hint="eastAsia"/>
              </w:rPr>
              <w:t>部门专项经费明细表接口对接</w:t>
            </w:r>
          </w:p>
        </w:tc>
        <w:tc>
          <w:tcPr>
            <w:tcW w:w="5348" w:type="dxa"/>
            <w:vAlign w:val="center"/>
          </w:tcPr>
          <w:p w14:paraId="52B2368A">
            <w:pPr>
              <w:rPr>
                <w:rFonts w:cs="宋体" w:asciiTheme="minorEastAsia" w:hAnsiTheme="minorEastAsia" w:eastAsiaTheme="minorEastAsia"/>
                <w:szCs w:val="21"/>
              </w:rPr>
            </w:pPr>
            <w:bookmarkStart w:id="24" w:name="OLE_LINK29"/>
            <w:bookmarkStart w:id="25" w:name="OLE_LINK30"/>
            <w:r>
              <w:rPr>
                <w:rFonts w:hint="eastAsia"/>
              </w:rPr>
              <w:t>财务报账系统开放部门专项经费明细表查询接口，数字化办公系统按照接口规范发起调用请求，接收并解析接口返回数据；同步完成接口参数适配、联调测试、数据合法性校验及业务数据结果确认，实现跨系统专项经费明细数据互联互通。</w:t>
            </w:r>
            <w:bookmarkEnd w:id="24"/>
            <w:bookmarkEnd w:id="25"/>
          </w:p>
        </w:tc>
      </w:tr>
      <w:tr w14:paraId="317FB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6" w:type="dxa"/>
            <w:tcBorders>
              <w:bottom w:val="single" w:color="auto" w:sz="4" w:space="0"/>
            </w:tcBorders>
            <w:vAlign w:val="center"/>
          </w:tcPr>
          <w:p w14:paraId="2C3D81A4">
            <w:pPr>
              <w:jc w:val="center"/>
              <w:rPr>
                <w:rFonts w:hint="eastAsia" w:asciiTheme="minorEastAsia" w:hAnsiTheme="minorEastAsia" w:eastAsiaTheme="minorEastAsia"/>
                <w:szCs w:val="21"/>
              </w:rPr>
            </w:pPr>
            <w:r>
              <w:rPr>
                <w:rFonts w:hint="eastAsia" w:asciiTheme="minorEastAsia" w:hAnsiTheme="minorEastAsia" w:eastAsiaTheme="minorEastAsia"/>
                <w:szCs w:val="21"/>
              </w:rPr>
              <w:t>10</w:t>
            </w:r>
          </w:p>
        </w:tc>
        <w:tc>
          <w:tcPr>
            <w:tcW w:w="2064" w:type="dxa"/>
            <w:tcBorders>
              <w:bottom w:val="single" w:color="auto" w:sz="4" w:space="0"/>
            </w:tcBorders>
            <w:vAlign w:val="center"/>
          </w:tcPr>
          <w:p w14:paraId="4EA33789">
            <w:pPr>
              <w:jc w:val="center"/>
              <w:rPr>
                <w:rFonts w:hint="eastAsia"/>
              </w:rPr>
            </w:pPr>
            <w:r>
              <w:t>接口数据测试联调</w:t>
            </w:r>
          </w:p>
        </w:tc>
        <w:tc>
          <w:tcPr>
            <w:tcW w:w="5348" w:type="dxa"/>
            <w:tcBorders>
              <w:bottom w:val="single" w:color="auto" w:sz="4" w:space="0"/>
            </w:tcBorders>
            <w:vAlign w:val="center"/>
          </w:tcPr>
          <w:p w14:paraId="66965D22">
            <w:pPr>
              <w:rPr>
                <w:rFonts w:hint="eastAsia"/>
              </w:rPr>
            </w:pPr>
            <w:r>
              <w:rPr>
                <w:rFonts w:hint="eastAsia"/>
              </w:rPr>
              <w:t>配合财务报账系统对接，双方研发人员依据对接接口文档，逐项核验接口数据的完整性与准确性，并对异常数据开展多轮修正与回归验证，确保双方接口数据准确对接。</w:t>
            </w:r>
          </w:p>
        </w:tc>
      </w:tr>
      <w:bookmarkEnd w:id="8"/>
    </w:tbl>
    <w:p w14:paraId="167EDE95">
      <w:pPr>
        <w:pStyle w:val="2"/>
        <w:rPr>
          <w:lang w:bidi="ar"/>
        </w:rPr>
      </w:pPr>
    </w:p>
    <w:p w14:paraId="0C991D49">
      <w:pPr>
        <w:pStyle w:val="17"/>
        <w:numPr>
          <w:ilvl w:val="0"/>
          <w:numId w:val="1"/>
        </w:numPr>
        <w:tabs>
          <w:tab w:val="left" w:pos="567"/>
        </w:tabs>
        <w:spacing w:line="360" w:lineRule="auto"/>
        <w:ind w:firstLineChars="0"/>
        <w:outlineLvl w:val="1"/>
        <w:rPr>
          <w:rFonts w:ascii="宋体" w:hAnsi="宋体" w:cs="宋体"/>
          <w:b/>
          <w:bCs/>
          <w:sz w:val="28"/>
          <w:szCs w:val="28"/>
        </w:rPr>
      </w:pPr>
      <w:r>
        <w:rPr>
          <w:rFonts w:hint="eastAsia" w:ascii="宋体" w:hAnsi="宋体" w:cs="宋体"/>
          <w:b/>
          <w:bCs/>
          <w:sz w:val="28"/>
          <w:szCs w:val="28"/>
        </w:rPr>
        <w:t>供应商资格要求</w:t>
      </w:r>
    </w:p>
    <w:p w14:paraId="69052A98">
      <w:pPr>
        <w:pStyle w:val="2"/>
        <w:spacing w:line="360" w:lineRule="auto"/>
      </w:pPr>
      <w:r>
        <w:tab/>
      </w:r>
      <w:r>
        <w:rPr>
          <w:rFonts w:hint="eastAsia"/>
        </w:rPr>
        <w:t>供应商</w:t>
      </w:r>
      <w:r>
        <w:t>须具有</w:t>
      </w:r>
      <w:r>
        <w:rPr>
          <w:rFonts w:hint="eastAsia"/>
        </w:rPr>
        <w:t>独立法人资格或是具有独立承担民事责任能力的其它组织</w:t>
      </w:r>
      <w:r>
        <w:t>（证明文件：须提供营业执照或法人证书或其他证明文件的复印件并加盖投标人公章，原件中标备查）</w:t>
      </w:r>
      <w:r>
        <w:rPr>
          <w:rFonts w:hint="eastAsia"/>
        </w:rPr>
        <w:t>。</w:t>
      </w:r>
    </w:p>
    <w:p w14:paraId="3E639006">
      <w:pPr>
        <w:pStyle w:val="2"/>
        <w:rPr>
          <w:lang w:bidi="ar"/>
        </w:rPr>
      </w:pPr>
    </w:p>
    <w:p w14:paraId="50F62B85">
      <w:pPr>
        <w:pStyle w:val="17"/>
        <w:numPr>
          <w:ilvl w:val="0"/>
          <w:numId w:val="1"/>
        </w:numPr>
        <w:tabs>
          <w:tab w:val="left" w:pos="567"/>
        </w:tabs>
        <w:spacing w:line="360" w:lineRule="auto"/>
        <w:ind w:firstLineChars="0"/>
        <w:outlineLvl w:val="1"/>
        <w:rPr>
          <w:rFonts w:ascii="宋体" w:hAnsi="宋体" w:cs="宋体"/>
          <w:b/>
          <w:bCs/>
          <w:sz w:val="28"/>
          <w:szCs w:val="28"/>
        </w:rPr>
      </w:pPr>
      <w:bookmarkStart w:id="26" w:name="_Toc11440"/>
      <w:r>
        <w:rPr>
          <w:rFonts w:hint="eastAsia" w:ascii="宋体" w:hAnsi="宋体" w:cs="宋体"/>
          <w:b/>
          <w:bCs/>
          <w:sz w:val="28"/>
          <w:szCs w:val="28"/>
        </w:rPr>
        <w:t>商务要求</w:t>
      </w:r>
      <w:bookmarkEnd w:id="26"/>
    </w:p>
    <w:p w14:paraId="0EF07FBC">
      <w:pPr>
        <w:pStyle w:val="2"/>
        <w:numPr>
          <w:ilvl w:val="0"/>
          <w:numId w:val="2"/>
        </w:numPr>
        <w:spacing w:line="360" w:lineRule="auto"/>
        <w:ind w:left="0" w:leftChars="0" w:firstLine="0" w:firstLineChars="0"/>
        <w:rPr>
          <w:rFonts w:cs="宋体" w:asciiTheme="minorEastAsia" w:hAnsiTheme="minorEastAsia" w:eastAsiaTheme="minorEastAsia"/>
          <w:b/>
          <w:bCs/>
        </w:rPr>
      </w:pPr>
      <w:r>
        <w:rPr>
          <w:rFonts w:hint="eastAsia" w:cs="宋体" w:asciiTheme="minorEastAsia" w:hAnsiTheme="minorEastAsia" w:eastAsiaTheme="minorEastAsia"/>
          <w:b/>
          <w:bCs/>
        </w:rPr>
        <w:t>服务期限：</w:t>
      </w:r>
      <w:r>
        <w:rPr>
          <w:rFonts w:ascii="宋体" w:hAnsi="宋体" w:eastAsia="宋体" w:cs="宋体"/>
          <w:sz w:val="24"/>
          <w:szCs w:val="24"/>
        </w:rPr>
        <w:t>本项目为一次性定制开发调试交付，自项目验收合格之日起，提供 1 年免费技术服务。</w:t>
      </w:r>
    </w:p>
    <w:p w14:paraId="1C12E60E">
      <w:pPr>
        <w:pStyle w:val="2"/>
        <w:numPr>
          <w:ilvl w:val="0"/>
          <w:numId w:val="2"/>
        </w:numPr>
        <w:spacing w:line="360" w:lineRule="auto"/>
        <w:ind w:left="0" w:leftChars="0" w:firstLine="0" w:firstLineChars="0"/>
        <w:rPr>
          <w:rFonts w:cs="宋体" w:asciiTheme="minorEastAsia" w:hAnsiTheme="minorEastAsia" w:eastAsiaTheme="minorEastAsia"/>
          <w:b/>
          <w:bCs/>
        </w:rPr>
      </w:pPr>
      <w:bookmarkStart w:id="27" w:name="OLE_LINK59"/>
      <w:bookmarkStart w:id="28" w:name="OLE_LINK60"/>
      <w:bookmarkStart w:id="29" w:name="OLE_LINK61"/>
      <w:r>
        <w:rPr>
          <w:rFonts w:hint="eastAsia" w:cs="宋体" w:asciiTheme="minorEastAsia" w:hAnsiTheme="minorEastAsia" w:eastAsiaTheme="minorEastAsia"/>
          <w:b/>
          <w:bCs/>
        </w:rPr>
        <w:t>报价要求</w:t>
      </w:r>
      <w:bookmarkEnd w:id="27"/>
      <w:bookmarkEnd w:id="28"/>
      <w:bookmarkEnd w:id="29"/>
    </w:p>
    <w:p w14:paraId="3B6110C9">
      <w:pPr>
        <w:pStyle w:val="2"/>
        <w:spacing w:line="360" w:lineRule="auto"/>
      </w:pPr>
      <w:r>
        <w:tab/>
      </w:r>
      <w:r>
        <w:t>投标人所报价</w:t>
      </w:r>
      <w:r>
        <w:rPr>
          <w:rFonts w:hint="eastAsia"/>
        </w:rPr>
        <w:t>均</w:t>
      </w:r>
      <w:r>
        <w:t>为含税价格，报价包含增值税、城建税、教育费附加、地方教育附加等全部法定税费，中标后按国家现行税率开具增值税发票，采购人不再另行承担任何税费。</w:t>
      </w:r>
    </w:p>
    <w:p w14:paraId="217A9B29">
      <w:pPr>
        <w:pStyle w:val="5"/>
        <w:numPr>
          <w:numId w:val="0"/>
        </w:numPr>
        <w:tabs>
          <w:tab w:val="left" w:pos="2340"/>
        </w:tabs>
        <w:adjustRightInd w:val="0"/>
        <w:snapToGrid w:val="0"/>
        <w:spacing w:line="360" w:lineRule="auto"/>
        <w:ind w:leftChars="0"/>
        <w:rPr>
          <w:rFonts w:asciiTheme="minorEastAsia" w:hAnsiTheme="minorEastAsia" w:eastAsiaTheme="minorEastAsia"/>
          <w:bCs/>
          <w:color w:val="000000"/>
          <w:sz w:val="24"/>
          <w:szCs w:val="24"/>
        </w:rPr>
      </w:pPr>
      <w:bookmarkStart w:id="30" w:name="_GoBack"/>
      <w:bookmarkEnd w:id="3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B3E8C9"/>
    <w:multiLevelType w:val="multilevel"/>
    <w:tmpl w:val="C4B3E8C9"/>
    <w:lvl w:ilvl="0" w:tentative="0">
      <w:start w:val="1"/>
      <w:numFmt w:val="chineseCountingThousand"/>
      <w:lvlText w:val="(%1)"/>
      <w:lvlJc w:val="left"/>
      <w:pPr>
        <w:ind w:left="0" w:leftChars="0" w:firstLine="0" w:firstLineChars="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
    <w:nsid w:val="677D0494"/>
    <w:multiLevelType w:val="multilevel"/>
    <w:tmpl w:val="677D0494"/>
    <w:lvl w:ilvl="0" w:tentative="0">
      <w:start w:val="1"/>
      <w:numFmt w:val="chineseCountingThousand"/>
      <w:lvlText w:val="%1、"/>
      <w:lvlJc w:val="left"/>
      <w:pPr>
        <w:ind w:left="450" w:hanging="450"/>
      </w:pPr>
      <w:rPr>
        <w:rFonts w:hint="default"/>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Y4YTk5OTdlZTFkNjhjZWM4OThmMDRkNWIxMGM5MzMifQ=="/>
  </w:docVars>
  <w:rsids>
    <w:rsidRoot w:val="7DB809EB"/>
    <w:rsid w:val="00001F38"/>
    <w:rsid w:val="000036E7"/>
    <w:rsid w:val="00005067"/>
    <w:rsid w:val="000057EA"/>
    <w:rsid w:val="00005BF9"/>
    <w:rsid w:val="00011FFB"/>
    <w:rsid w:val="000120A1"/>
    <w:rsid w:val="00014E8A"/>
    <w:rsid w:val="00015A7A"/>
    <w:rsid w:val="000166A1"/>
    <w:rsid w:val="000179BB"/>
    <w:rsid w:val="00020143"/>
    <w:rsid w:val="0002731D"/>
    <w:rsid w:val="00033226"/>
    <w:rsid w:val="000339CB"/>
    <w:rsid w:val="00033C28"/>
    <w:rsid w:val="00035B09"/>
    <w:rsid w:val="00040D81"/>
    <w:rsid w:val="00041BBD"/>
    <w:rsid w:val="000431B2"/>
    <w:rsid w:val="000446AE"/>
    <w:rsid w:val="00044A5A"/>
    <w:rsid w:val="00045321"/>
    <w:rsid w:val="00045C6E"/>
    <w:rsid w:val="00047F40"/>
    <w:rsid w:val="000518DE"/>
    <w:rsid w:val="000554DB"/>
    <w:rsid w:val="0005723D"/>
    <w:rsid w:val="00057BE6"/>
    <w:rsid w:val="00071337"/>
    <w:rsid w:val="0007238D"/>
    <w:rsid w:val="00072E6D"/>
    <w:rsid w:val="0007390D"/>
    <w:rsid w:val="00074D0B"/>
    <w:rsid w:val="00081974"/>
    <w:rsid w:val="0008415A"/>
    <w:rsid w:val="00084544"/>
    <w:rsid w:val="00086019"/>
    <w:rsid w:val="00090C9F"/>
    <w:rsid w:val="00092796"/>
    <w:rsid w:val="00093692"/>
    <w:rsid w:val="00095906"/>
    <w:rsid w:val="0009632E"/>
    <w:rsid w:val="000A0571"/>
    <w:rsid w:val="000A05E2"/>
    <w:rsid w:val="000A0DBE"/>
    <w:rsid w:val="000A3B3F"/>
    <w:rsid w:val="000A53AC"/>
    <w:rsid w:val="000A6935"/>
    <w:rsid w:val="000A7789"/>
    <w:rsid w:val="000B0765"/>
    <w:rsid w:val="000B12CC"/>
    <w:rsid w:val="000B2016"/>
    <w:rsid w:val="000B48C8"/>
    <w:rsid w:val="000B60E0"/>
    <w:rsid w:val="000B6117"/>
    <w:rsid w:val="000C2BE7"/>
    <w:rsid w:val="000C3A18"/>
    <w:rsid w:val="000C5F18"/>
    <w:rsid w:val="000C662C"/>
    <w:rsid w:val="000C6714"/>
    <w:rsid w:val="000C6C0A"/>
    <w:rsid w:val="000C791F"/>
    <w:rsid w:val="000D07D0"/>
    <w:rsid w:val="000D4A84"/>
    <w:rsid w:val="000D5B47"/>
    <w:rsid w:val="000E0E81"/>
    <w:rsid w:val="000E1486"/>
    <w:rsid w:val="000E189A"/>
    <w:rsid w:val="000E4F14"/>
    <w:rsid w:val="000F09C1"/>
    <w:rsid w:val="000F2276"/>
    <w:rsid w:val="000F3C62"/>
    <w:rsid w:val="000F47C9"/>
    <w:rsid w:val="0010222C"/>
    <w:rsid w:val="00102D31"/>
    <w:rsid w:val="001106D8"/>
    <w:rsid w:val="0011200B"/>
    <w:rsid w:val="00113B1C"/>
    <w:rsid w:val="001141DC"/>
    <w:rsid w:val="0011739C"/>
    <w:rsid w:val="00121647"/>
    <w:rsid w:val="00124F33"/>
    <w:rsid w:val="001345D8"/>
    <w:rsid w:val="00136569"/>
    <w:rsid w:val="001373C3"/>
    <w:rsid w:val="0014012B"/>
    <w:rsid w:val="0014286C"/>
    <w:rsid w:val="00142DAD"/>
    <w:rsid w:val="00146727"/>
    <w:rsid w:val="00146D43"/>
    <w:rsid w:val="00150C9D"/>
    <w:rsid w:val="00152D8E"/>
    <w:rsid w:val="00155D73"/>
    <w:rsid w:val="001563D2"/>
    <w:rsid w:val="00164178"/>
    <w:rsid w:val="001667F6"/>
    <w:rsid w:val="0016795F"/>
    <w:rsid w:val="00170280"/>
    <w:rsid w:val="00176E62"/>
    <w:rsid w:val="0019185C"/>
    <w:rsid w:val="00193185"/>
    <w:rsid w:val="0019597F"/>
    <w:rsid w:val="00195AEE"/>
    <w:rsid w:val="001A1E1E"/>
    <w:rsid w:val="001A2577"/>
    <w:rsid w:val="001A35A7"/>
    <w:rsid w:val="001A4BF1"/>
    <w:rsid w:val="001A656A"/>
    <w:rsid w:val="001A7356"/>
    <w:rsid w:val="001A7843"/>
    <w:rsid w:val="001B0D0A"/>
    <w:rsid w:val="001B144B"/>
    <w:rsid w:val="001B25C8"/>
    <w:rsid w:val="001B313F"/>
    <w:rsid w:val="001B35EF"/>
    <w:rsid w:val="001B5D38"/>
    <w:rsid w:val="001B5E2B"/>
    <w:rsid w:val="001B6296"/>
    <w:rsid w:val="001C2D03"/>
    <w:rsid w:val="001C4E5A"/>
    <w:rsid w:val="001C5CDA"/>
    <w:rsid w:val="001C6F09"/>
    <w:rsid w:val="001D34D9"/>
    <w:rsid w:val="001D4C08"/>
    <w:rsid w:val="001D4CD3"/>
    <w:rsid w:val="001D5C77"/>
    <w:rsid w:val="001D5E19"/>
    <w:rsid w:val="001D6676"/>
    <w:rsid w:val="001E0753"/>
    <w:rsid w:val="001E0CEE"/>
    <w:rsid w:val="001E3E25"/>
    <w:rsid w:val="001E68B1"/>
    <w:rsid w:val="001F2299"/>
    <w:rsid w:val="001F3AC0"/>
    <w:rsid w:val="001F43C0"/>
    <w:rsid w:val="00201021"/>
    <w:rsid w:val="00201650"/>
    <w:rsid w:val="00204C5E"/>
    <w:rsid w:val="00204D55"/>
    <w:rsid w:val="00204E43"/>
    <w:rsid w:val="002053C1"/>
    <w:rsid w:val="00205DA4"/>
    <w:rsid w:val="00207FE1"/>
    <w:rsid w:val="002152F6"/>
    <w:rsid w:val="00220DD3"/>
    <w:rsid w:val="00221634"/>
    <w:rsid w:val="002218D8"/>
    <w:rsid w:val="002234AE"/>
    <w:rsid w:val="00225A0D"/>
    <w:rsid w:val="00225FB6"/>
    <w:rsid w:val="002264ED"/>
    <w:rsid w:val="00227919"/>
    <w:rsid w:val="00230CEE"/>
    <w:rsid w:val="00232D16"/>
    <w:rsid w:val="00234496"/>
    <w:rsid w:val="00235432"/>
    <w:rsid w:val="002407B7"/>
    <w:rsid w:val="002420BE"/>
    <w:rsid w:val="00244CC5"/>
    <w:rsid w:val="00244D98"/>
    <w:rsid w:val="00244DA7"/>
    <w:rsid w:val="002508A9"/>
    <w:rsid w:val="00250B0E"/>
    <w:rsid w:val="00252BF6"/>
    <w:rsid w:val="002539D5"/>
    <w:rsid w:val="00261941"/>
    <w:rsid w:val="002620E1"/>
    <w:rsid w:val="002655B8"/>
    <w:rsid w:val="00270F60"/>
    <w:rsid w:val="0027303F"/>
    <w:rsid w:val="00274A3C"/>
    <w:rsid w:val="00275B04"/>
    <w:rsid w:val="0027716F"/>
    <w:rsid w:val="00280E66"/>
    <w:rsid w:val="00281C04"/>
    <w:rsid w:val="002822B8"/>
    <w:rsid w:val="00285B2C"/>
    <w:rsid w:val="00286524"/>
    <w:rsid w:val="00287E94"/>
    <w:rsid w:val="00293990"/>
    <w:rsid w:val="00293D54"/>
    <w:rsid w:val="00296C87"/>
    <w:rsid w:val="00297A25"/>
    <w:rsid w:val="002A234A"/>
    <w:rsid w:val="002A4B1C"/>
    <w:rsid w:val="002A6DB0"/>
    <w:rsid w:val="002B08A5"/>
    <w:rsid w:val="002B08D2"/>
    <w:rsid w:val="002B0CBF"/>
    <w:rsid w:val="002C055B"/>
    <w:rsid w:val="002C4D56"/>
    <w:rsid w:val="002C686B"/>
    <w:rsid w:val="002C7660"/>
    <w:rsid w:val="002D4F69"/>
    <w:rsid w:val="002D6776"/>
    <w:rsid w:val="002E1081"/>
    <w:rsid w:val="002E1B38"/>
    <w:rsid w:val="002E311E"/>
    <w:rsid w:val="002E784A"/>
    <w:rsid w:val="002F1148"/>
    <w:rsid w:val="002F13B1"/>
    <w:rsid w:val="002F194E"/>
    <w:rsid w:val="002F6141"/>
    <w:rsid w:val="002F71A9"/>
    <w:rsid w:val="00307224"/>
    <w:rsid w:val="00311256"/>
    <w:rsid w:val="00311DE6"/>
    <w:rsid w:val="0031263B"/>
    <w:rsid w:val="00320B3B"/>
    <w:rsid w:val="00323D8C"/>
    <w:rsid w:val="0032733D"/>
    <w:rsid w:val="003363FB"/>
    <w:rsid w:val="0033718C"/>
    <w:rsid w:val="00337E73"/>
    <w:rsid w:val="00340866"/>
    <w:rsid w:val="0034570B"/>
    <w:rsid w:val="00346098"/>
    <w:rsid w:val="003462D4"/>
    <w:rsid w:val="003508FB"/>
    <w:rsid w:val="003512B9"/>
    <w:rsid w:val="00353116"/>
    <w:rsid w:val="00354229"/>
    <w:rsid w:val="00354830"/>
    <w:rsid w:val="00354BD8"/>
    <w:rsid w:val="003557FB"/>
    <w:rsid w:val="00355D66"/>
    <w:rsid w:val="003606E0"/>
    <w:rsid w:val="00361798"/>
    <w:rsid w:val="00361E79"/>
    <w:rsid w:val="00362D0A"/>
    <w:rsid w:val="00366C83"/>
    <w:rsid w:val="00367E9B"/>
    <w:rsid w:val="003715EB"/>
    <w:rsid w:val="003778F1"/>
    <w:rsid w:val="00380BD5"/>
    <w:rsid w:val="00382145"/>
    <w:rsid w:val="003850CA"/>
    <w:rsid w:val="00387D5F"/>
    <w:rsid w:val="003A2254"/>
    <w:rsid w:val="003A3D91"/>
    <w:rsid w:val="003A5CF2"/>
    <w:rsid w:val="003B3398"/>
    <w:rsid w:val="003B5042"/>
    <w:rsid w:val="003B69F2"/>
    <w:rsid w:val="003C15AA"/>
    <w:rsid w:val="003C7533"/>
    <w:rsid w:val="003D0A3C"/>
    <w:rsid w:val="003D462C"/>
    <w:rsid w:val="003D4DFB"/>
    <w:rsid w:val="003D504A"/>
    <w:rsid w:val="003D57BE"/>
    <w:rsid w:val="003E01A8"/>
    <w:rsid w:val="003E63B2"/>
    <w:rsid w:val="003F1C38"/>
    <w:rsid w:val="003F39BB"/>
    <w:rsid w:val="003F3A87"/>
    <w:rsid w:val="003F4C48"/>
    <w:rsid w:val="003F6F76"/>
    <w:rsid w:val="00406C90"/>
    <w:rsid w:val="00411890"/>
    <w:rsid w:val="0041317B"/>
    <w:rsid w:val="00416516"/>
    <w:rsid w:val="00416AA0"/>
    <w:rsid w:val="00416FB0"/>
    <w:rsid w:val="004209FF"/>
    <w:rsid w:val="0042305D"/>
    <w:rsid w:val="004239B0"/>
    <w:rsid w:val="004239CF"/>
    <w:rsid w:val="00424348"/>
    <w:rsid w:val="004270AA"/>
    <w:rsid w:val="00427850"/>
    <w:rsid w:val="00427F56"/>
    <w:rsid w:val="00432964"/>
    <w:rsid w:val="004332D7"/>
    <w:rsid w:val="004337D6"/>
    <w:rsid w:val="00434728"/>
    <w:rsid w:val="00435C3D"/>
    <w:rsid w:val="004364B7"/>
    <w:rsid w:val="00443A84"/>
    <w:rsid w:val="00450EDF"/>
    <w:rsid w:val="00452E03"/>
    <w:rsid w:val="004530B3"/>
    <w:rsid w:val="0045391F"/>
    <w:rsid w:val="00455022"/>
    <w:rsid w:val="00455959"/>
    <w:rsid w:val="00456E54"/>
    <w:rsid w:val="00457784"/>
    <w:rsid w:val="00457953"/>
    <w:rsid w:val="0045798D"/>
    <w:rsid w:val="00462C1E"/>
    <w:rsid w:val="00464AF8"/>
    <w:rsid w:val="00471211"/>
    <w:rsid w:val="00474048"/>
    <w:rsid w:val="00474D2A"/>
    <w:rsid w:val="004754C5"/>
    <w:rsid w:val="00477C26"/>
    <w:rsid w:val="00483C0B"/>
    <w:rsid w:val="0049001A"/>
    <w:rsid w:val="0049084A"/>
    <w:rsid w:val="00492375"/>
    <w:rsid w:val="0049317D"/>
    <w:rsid w:val="00493190"/>
    <w:rsid w:val="00493359"/>
    <w:rsid w:val="004A3C5F"/>
    <w:rsid w:val="004B098D"/>
    <w:rsid w:val="004B0B7D"/>
    <w:rsid w:val="004B29E6"/>
    <w:rsid w:val="004B35A4"/>
    <w:rsid w:val="004B4C83"/>
    <w:rsid w:val="004C2967"/>
    <w:rsid w:val="004C65BB"/>
    <w:rsid w:val="004C702C"/>
    <w:rsid w:val="004C79B8"/>
    <w:rsid w:val="004C7BF6"/>
    <w:rsid w:val="004D2F03"/>
    <w:rsid w:val="004D3F10"/>
    <w:rsid w:val="004D5A05"/>
    <w:rsid w:val="004D5C5E"/>
    <w:rsid w:val="004D6DF6"/>
    <w:rsid w:val="004D6E0B"/>
    <w:rsid w:val="004E0482"/>
    <w:rsid w:val="004E102D"/>
    <w:rsid w:val="004E488E"/>
    <w:rsid w:val="004E6086"/>
    <w:rsid w:val="004F0232"/>
    <w:rsid w:val="004F537E"/>
    <w:rsid w:val="004F5DCB"/>
    <w:rsid w:val="00500C54"/>
    <w:rsid w:val="00503B8C"/>
    <w:rsid w:val="00505324"/>
    <w:rsid w:val="00506556"/>
    <w:rsid w:val="0050722B"/>
    <w:rsid w:val="00510789"/>
    <w:rsid w:val="005126A2"/>
    <w:rsid w:val="005235F5"/>
    <w:rsid w:val="00523AB9"/>
    <w:rsid w:val="00532806"/>
    <w:rsid w:val="005442F6"/>
    <w:rsid w:val="0054441B"/>
    <w:rsid w:val="0054454F"/>
    <w:rsid w:val="0055110A"/>
    <w:rsid w:val="00551B84"/>
    <w:rsid w:val="00552168"/>
    <w:rsid w:val="0055271E"/>
    <w:rsid w:val="00553DE6"/>
    <w:rsid w:val="00554324"/>
    <w:rsid w:val="00554B5B"/>
    <w:rsid w:val="00555DA6"/>
    <w:rsid w:val="00557796"/>
    <w:rsid w:val="00557EEA"/>
    <w:rsid w:val="005601FA"/>
    <w:rsid w:val="0056029C"/>
    <w:rsid w:val="0056216D"/>
    <w:rsid w:val="0056231B"/>
    <w:rsid w:val="005662D3"/>
    <w:rsid w:val="005671D9"/>
    <w:rsid w:val="005673DD"/>
    <w:rsid w:val="00574C32"/>
    <w:rsid w:val="00574E78"/>
    <w:rsid w:val="00574F88"/>
    <w:rsid w:val="005751EF"/>
    <w:rsid w:val="00581152"/>
    <w:rsid w:val="00582E60"/>
    <w:rsid w:val="005865E4"/>
    <w:rsid w:val="00587415"/>
    <w:rsid w:val="0059253F"/>
    <w:rsid w:val="00592790"/>
    <w:rsid w:val="005933B8"/>
    <w:rsid w:val="00594B3C"/>
    <w:rsid w:val="00597430"/>
    <w:rsid w:val="00597F68"/>
    <w:rsid w:val="005A09BC"/>
    <w:rsid w:val="005A4565"/>
    <w:rsid w:val="005A5667"/>
    <w:rsid w:val="005A5A7F"/>
    <w:rsid w:val="005B0AEA"/>
    <w:rsid w:val="005B42F9"/>
    <w:rsid w:val="005B475E"/>
    <w:rsid w:val="005B4B00"/>
    <w:rsid w:val="005C1AE9"/>
    <w:rsid w:val="005C3A61"/>
    <w:rsid w:val="005C4647"/>
    <w:rsid w:val="005C5440"/>
    <w:rsid w:val="005C7341"/>
    <w:rsid w:val="005D4E93"/>
    <w:rsid w:val="005D632E"/>
    <w:rsid w:val="005D6C84"/>
    <w:rsid w:val="005E05E7"/>
    <w:rsid w:val="005F1739"/>
    <w:rsid w:val="005F37F3"/>
    <w:rsid w:val="005F3A5B"/>
    <w:rsid w:val="005F7018"/>
    <w:rsid w:val="005F729B"/>
    <w:rsid w:val="00600679"/>
    <w:rsid w:val="00604977"/>
    <w:rsid w:val="00605A5A"/>
    <w:rsid w:val="00612811"/>
    <w:rsid w:val="00612AF3"/>
    <w:rsid w:val="00612EAD"/>
    <w:rsid w:val="006146B0"/>
    <w:rsid w:val="00616189"/>
    <w:rsid w:val="006173FB"/>
    <w:rsid w:val="006220A6"/>
    <w:rsid w:val="00622195"/>
    <w:rsid w:val="00622912"/>
    <w:rsid w:val="00622ECF"/>
    <w:rsid w:val="00622FD6"/>
    <w:rsid w:val="00623C79"/>
    <w:rsid w:val="006244AB"/>
    <w:rsid w:val="00625E4E"/>
    <w:rsid w:val="006278A7"/>
    <w:rsid w:val="00627BB5"/>
    <w:rsid w:val="00630F16"/>
    <w:rsid w:val="006312E3"/>
    <w:rsid w:val="00631E26"/>
    <w:rsid w:val="00632085"/>
    <w:rsid w:val="00634F54"/>
    <w:rsid w:val="0063730C"/>
    <w:rsid w:val="006379F8"/>
    <w:rsid w:val="006421D1"/>
    <w:rsid w:val="00643461"/>
    <w:rsid w:val="006454A0"/>
    <w:rsid w:val="006535F2"/>
    <w:rsid w:val="00656072"/>
    <w:rsid w:val="006562C0"/>
    <w:rsid w:val="00656B3D"/>
    <w:rsid w:val="00660905"/>
    <w:rsid w:val="00662D8C"/>
    <w:rsid w:val="006657B3"/>
    <w:rsid w:val="006723A0"/>
    <w:rsid w:val="00673FC0"/>
    <w:rsid w:val="006774FA"/>
    <w:rsid w:val="00683311"/>
    <w:rsid w:val="00684007"/>
    <w:rsid w:val="0069023D"/>
    <w:rsid w:val="00690577"/>
    <w:rsid w:val="006916E9"/>
    <w:rsid w:val="006924CE"/>
    <w:rsid w:val="00693EF7"/>
    <w:rsid w:val="0069691F"/>
    <w:rsid w:val="00696CED"/>
    <w:rsid w:val="006A1E25"/>
    <w:rsid w:val="006A2026"/>
    <w:rsid w:val="006B0520"/>
    <w:rsid w:val="006B7B0F"/>
    <w:rsid w:val="006C3F73"/>
    <w:rsid w:val="006C5762"/>
    <w:rsid w:val="006C6082"/>
    <w:rsid w:val="006C6A3D"/>
    <w:rsid w:val="006C73D1"/>
    <w:rsid w:val="006D5EAD"/>
    <w:rsid w:val="006D6841"/>
    <w:rsid w:val="006E02F8"/>
    <w:rsid w:val="006E7C9D"/>
    <w:rsid w:val="006F0145"/>
    <w:rsid w:val="006F47C5"/>
    <w:rsid w:val="006F4BCD"/>
    <w:rsid w:val="006F4D0E"/>
    <w:rsid w:val="006F661E"/>
    <w:rsid w:val="00702515"/>
    <w:rsid w:val="00706EAA"/>
    <w:rsid w:val="0070785E"/>
    <w:rsid w:val="00710C07"/>
    <w:rsid w:val="00711555"/>
    <w:rsid w:val="0071433E"/>
    <w:rsid w:val="0071649C"/>
    <w:rsid w:val="007207A3"/>
    <w:rsid w:val="00724625"/>
    <w:rsid w:val="00724A41"/>
    <w:rsid w:val="00733B10"/>
    <w:rsid w:val="00734498"/>
    <w:rsid w:val="0073541B"/>
    <w:rsid w:val="00735594"/>
    <w:rsid w:val="007429A8"/>
    <w:rsid w:val="00744E60"/>
    <w:rsid w:val="00745DFF"/>
    <w:rsid w:val="00747F3E"/>
    <w:rsid w:val="00753247"/>
    <w:rsid w:val="0075485D"/>
    <w:rsid w:val="00754E16"/>
    <w:rsid w:val="007564F2"/>
    <w:rsid w:val="007605B2"/>
    <w:rsid w:val="00761653"/>
    <w:rsid w:val="00761B3B"/>
    <w:rsid w:val="00761C9B"/>
    <w:rsid w:val="00762B62"/>
    <w:rsid w:val="00762F93"/>
    <w:rsid w:val="00764214"/>
    <w:rsid w:val="007642D5"/>
    <w:rsid w:val="00764376"/>
    <w:rsid w:val="00764642"/>
    <w:rsid w:val="00766178"/>
    <w:rsid w:val="00773FAC"/>
    <w:rsid w:val="00775277"/>
    <w:rsid w:val="007754F3"/>
    <w:rsid w:val="00780141"/>
    <w:rsid w:val="007804D0"/>
    <w:rsid w:val="00783399"/>
    <w:rsid w:val="00786986"/>
    <w:rsid w:val="0079222B"/>
    <w:rsid w:val="00793FB9"/>
    <w:rsid w:val="007A03CC"/>
    <w:rsid w:val="007A304E"/>
    <w:rsid w:val="007A3E14"/>
    <w:rsid w:val="007A45DB"/>
    <w:rsid w:val="007A5A86"/>
    <w:rsid w:val="007B2086"/>
    <w:rsid w:val="007B453C"/>
    <w:rsid w:val="007B4F4B"/>
    <w:rsid w:val="007B593E"/>
    <w:rsid w:val="007C258F"/>
    <w:rsid w:val="007C3EB5"/>
    <w:rsid w:val="007C46F6"/>
    <w:rsid w:val="007C7A70"/>
    <w:rsid w:val="007D0E08"/>
    <w:rsid w:val="007D41A3"/>
    <w:rsid w:val="007D4DA7"/>
    <w:rsid w:val="007D7311"/>
    <w:rsid w:val="007F502B"/>
    <w:rsid w:val="007F68FA"/>
    <w:rsid w:val="008010C3"/>
    <w:rsid w:val="00802955"/>
    <w:rsid w:val="0080296B"/>
    <w:rsid w:val="00802B7F"/>
    <w:rsid w:val="00806FE7"/>
    <w:rsid w:val="00807B85"/>
    <w:rsid w:val="00811215"/>
    <w:rsid w:val="008118FA"/>
    <w:rsid w:val="00811FB3"/>
    <w:rsid w:val="00815120"/>
    <w:rsid w:val="0081748C"/>
    <w:rsid w:val="00821021"/>
    <w:rsid w:val="008247CB"/>
    <w:rsid w:val="00824B1A"/>
    <w:rsid w:val="00831700"/>
    <w:rsid w:val="008320B5"/>
    <w:rsid w:val="008320FE"/>
    <w:rsid w:val="0083342C"/>
    <w:rsid w:val="00834CA4"/>
    <w:rsid w:val="008410AC"/>
    <w:rsid w:val="00841364"/>
    <w:rsid w:val="0084195D"/>
    <w:rsid w:val="008427B0"/>
    <w:rsid w:val="00844C5E"/>
    <w:rsid w:val="00845692"/>
    <w:rsid w:val="00845C88"/>
    <w:rsid w:val="00850EA2"/>
    <w:rsid w:val="00851CA8"/>
    <w:rsid w:val="00854171"/>
    <w:rsid w:val="0085563E"/>
    <w:rsid w:val="0085644D"/>
    <w:rsid w:val="00856E57"/>
    <w:rsid w:val="00857483"/>
    <w:rsid w:val="008578F8"/>
    <w:rsid w:val="00862A85"/>
    <w:rsid w:val="00863451"/>
    <w:rsid w:val="00870935"/>
    <w:rsid w:val="00870AFE"/>
    <w:rsid w:val="0087133E"/>
    <w:rsid w:val="00872753"/>
    <w:rsid w:val="00872901"/>
    <w:rsid w:val="00873B84"/>
    <w:rsid w:val="0087620B"/>
    <w:rsid w:val="00876E9B"/>
    <w:rsid w:val="00882CF6"/>
    <w:rsid w:val="008915CE"/>
    <w:rsid w:val="0089176E"/>
    <w:rsid w:val="008935C5"/>
    <w:rsid w:val="00894955"/>
    <w:rsid w:val="00895B42"/>
    <w:rsid w:val="008971BC"/>
    <w:rsid w:val="00897F91"/>
    <w:rsid w:val="008A28F4"/>
    <w:rsid w:val="008A7410"/>
    <w:rsid w:val="008B01F1"/>
    <w:rsid w:val="008B1318"/>
    <w:rsid w:val="008B48A2"/>
    <w:rsid w:val="008B4D48"/>
    <w:rsid w:val="008B4E76"/>
    <w:rsid w:val="008B5F6E"/>
    <w:rsid w:val="008C1830"/>
    <w:rsid w:val="008C3BD3"/>
    <w:rsid w:val="008C4EDC"/>
    <w:rsid w:val="008D20BB"/>
    <w:rsid w:val="008E3E7A"/>
    <w:rsid w:val="008E3F4C"/>
    <w:rsid w:val="008E497E"/>
    <w:rsid w:val="008F0FB0"/>
    <w:rsid w:val="008F2015"/>
    <w:rsid w:val="008F442E"/>
    <w:rsid w:val="008F4B34"/>
    <w:rsid w:val="008F68FA"/>
    <w:rsid w:val="009014F2"/>
    <w:rsid w:val="00901F34"/>
    <w:rsid w:val="009031AC"/>
    <w:rsid w:val="00910E74"/>
    <w:rsid w:val="00912090"/>
    <w:rsid w:val="00913FE8"/>
    <w:rsid w:val="00914145"/>
    <w:rsid w:val="00914815"/>
    <w:rsid w:val="00920CDA"/>
    <w:rsid w:val="0092462A"/>
    <w:rsid w:val="009259C1"/>
    <w:rsid w:val="00925B44"/>
    <w:rsid w:val="00926ABA"/>
    <w:rsid w:val="009303DF"/>
    <w:rsid w:val="00934C4D"/>
    <w:rsid w:val="00935011"/>
    <w:rsid w:val="00936DD4"/>
    <w:rsid w:val="00941D2E"/>
    <w:rsid w:val="009422F8"/>
    <w:rsid w:val="009426BB"/>
    <w:rsid w:val="009429D5"/>
    <w:rsid w:val="009470FA"/>
    <w:rsid w:val="00950011"/>
    <w:rsid w:val="009518A9"/>
    <w:rsid w:val="00951B33"/>
    <w:rsid w:val="00952E90"/>
    <w:rsid w:val="00954A43"/>
    <w:rsid w:val="00956D94"/>
    <w:rsid w:val="00957318"/>
    <w:rsid w:val="009579AB"/>
    <w:rsid w:val="0096102E"/>
    <w:rsid w:val="00961C2D"/>
    <w:rsid w:val="00962C14"/>
    <w:rsid w:val="00962F2F"/>
    <w:rsid w:val="009648BF"/>
    <w:rsid w:val="009657B0"/>
    <w:rsid w:val="0096654E"/>
    <w:rsid w:val="00970147"/>
    <w:rsid w:val="0098313D"/>
    <w:rsid w:val="0098427F"/>
    <w:rsid w:val="00984522"/>
    <w:rsid w:val="00985423"/>
    <w:rsid w:val="00986B8B"/>
    <w:rsid w:val="00991525"/>
    <w:rsid w:val="00996569"/>
    <w:rsid w:val="009A0EED"/>
    <w:rsid w:val="009A1858"/>
    <w:rsid w:val="009A20C8"/>
    <w:rsid w:val="009A2721"/>
    <w:rsid w:val="009A45B6"/>
    <w:rsid w:val="009A5A54"/>
    <w:rsid w:val="009A6759"/>
    <w:rsid w:val="009A6F4F"/>
    <w:rsid w:val="009A7A52"/>
    <w:rsid w:val="009B14E9"/>
    <w:rsid w:val="009B1867"/>
    <w:rsid w:val="009B590B"/>
    <w:rsid w:val="009C116F"/>
    <w:rsid w:val="009C1945"/>
    <w:rsid w:val="009C1BA4"/>
    <w:rsid w:val="009C6AC9"/>
    <w:rsid w:val="009D3B95"/>
    <w:rsid w:val="009D5AEC"/>
    <w:rsid w:val="009D5F54"/>
    <w:rsid w:val="009D6882"/>
    <w:rsid w:val="009E1084"/>
    <w:rsid w:val="009E2F24"/>
    <w:rsid w:val="009E5E29"/>
    <w:rsid w:val="009E619A"/>
    <w:rsid w:val="009F10B5"/>
    <w:rsid w:val="009F11B8"/>
    <w:rsid w:val="009F2512"/>
    <w:rsid w:val="009F2DFD"/>
    <w:rsid w:val="009F39A9"/>
    <w:rsid w:val="009F60A6"/>
    <w:rsid w:val="009F636E"/>
    <w:rsid w:val="009F7034"/>
    <w:rsid w:val="00A00684"/>
    <w:rsid w:val="00A027F1"/>
    <w:rsid w:val="00A04F16"/>
    <w:rsid w:val="00A0597B"/>
    <w:rsid w:val="00A12889"/>
    <w:rsid w:val="00A203A7"/>
    <w:rsid w:val="00A2182E"/>
    <w:rsid w:val="00A22218"/>
    <w:rsid w:val="00A23784"/>
    <w:rsid w:val="00A30657"/>
    <w:rsid w:val="00A30C7B"/>
    <w:rsid w:val="00A312C1"/>
    <w:rsid w:val="00A31F6F"/>
    <w:rsid w:val="00A32068"/>
    <w:rsid w:val="00A35167"/>
    <w:rsid w:val="00A3519C"/>
    <w:rsid w:val="00A4098A"/>
    <w:rsid w:val="00A4351F"/>
    <w:rsid w:val="00A46037"/>
    <w:rsid w:val="00A47CC0"/>
    <w:rsid w:val="00A50014"/>
    <w:rsid w:val="00A555BB"/>
    <w:rsid w:val="00A57050"/>
    <w:rsid w:val="00A57B92"/>
    <w:rsid w:val="00A61025"/>
    <w:rsid w:val="00A62040"/>
    <w:rsid w:val="00A635C9"/>
    <w:rsid w:val="00A644BF"/>
    <w:rsid w:val="00A734C6"/>
    <w:rsid w:val="00A80B81"/>
    <w:rsid w:val="00A816D2"/>
    <w:rsid w:val="00A8265B"/>
    <w:rsid w:val="00A84380"/>
    <w:rsid w:val="00A85290"/>
    <w:rsid w:val="00A86160"/>
    <w:rsid w:val="00A86165"/>
    <w:rsid w:val="00A9209A"/>
    <w:rsid w:val="00A940B8"/>
    <w:rsid w:val="00AA19FB"/>
    <w:rsid w:val="00AA4882"/>
    <w:rsid w:val="00AA4FD5"/>
    <w:rsid w:val="00AA63F1"/>
    <w:rsid w:val="00AB240B"/>
    <w:rsid w:val="00AB509A"/>
    <w:rsid w:val="00AB67DE"/>
    <w:rsid w:val="00AC0CA7"/>
    <w:rsid w:val="00AC10D0"/>
    <w:rsid w:val="00AC200A"/>
    <w:rsid w:val="00AC3B8B"/>
    <w:rsid w:val="00AC765E"/>
    <w:rsid w:val="00AD07A6"/>
    <w:rsid w:val="00AD0934"/>
    <w:rsid w:val="00AD0D8D"/>
    <w:rsid w:val="00AD270E"/>
    <w:rsid w:val="00AD5277"/>
    <w:rsid w:val="00AD6386"/>
    <w:rsid w:val="00AE1871"/>
    <w:rsid w:val="00AE369F"/>
    <w:rsid w:val="00AE3840"/>
    <w:rsid w:val="00AE3E14"/>
    <w:rsid w:val="00AE5439"/>
    <w:rsid w:val="00AF1BE5"/>
    <w:rsid w:val="00B008A5"/>
    <w:rsid w:val="00B034F5"/>
    <w:rsid w:val="00B03D07"/>
    <w:rsid w:val="00B0689C"/>
    <w:rsid w:val="00B11D67"/>
    <w:rsid w:val="00B15B41"/>
    <w:rsid w:val="00B162DF"/>
    <w:rsid w:val="00B178D8"/>
    <w:rsid w:val="00B21B32"/>
    <w:rsid w:val="00B24B2D"/>
    <w:rsid w:val="00B25118"/>
    <w:rsid w:val="00B26526"/>
    <w:rsid w:val="00B323C0"/>
    <w:rsid w:val="00B32409"/>
    <w:rsid w:val="00B3455D"/>
    <w:rsid w:val="00B409C9"/>
    <w:rsid w:val="00B426BF"/>
    <w:rsid w:val="00B42A87"/>
    <w:rsid w:val="00B42E1C"/>
    <w:rsid w:val="00B44CEE"/>
    <w:rsid w:val="00B44FCA"/>
    <w:rsid w:val="00B4561A"/>
    <w:rsid w:val="00B45947"/>
    <w:rsid w:val="00B45BB4"/>
    <w:rsid w:val="00B472A2"/>
    <w:rsid w:val="00B51BF0"/>
    <w:rsid w:val="00B52EFE"/>
    <w:rsid w:val="00B53B55"/>
    <w:rsid w:val="00B570FB"/>
    <w:rsid w:val="00B6408C"/>
    <w:rsid w:val="00B64A23"/>
    <w:rsid w:val="00B662A5"/>
    <w:rsid w:val="00B665EC"/>
    <w:rsid w:val="00B738DA"/>
    <w:rsid w:val="00B7632F"/>
    <w:rsid w:val="00B82D74"/>
    <w:rsid w:val="00B83A01"/>
    <w:rsid w:val="00B84FDB"/>
    <w:rsid w:val="00B96065"/>
    <w:rsid w:val="00B9748F"/>
    <w:rsid w:val="00B979D6"/>
    <w:rsid w:val="00BA1D0E"/>
    <w:rsid w:val="00BA4FFC"/>
    <w:rsid w:val="00BB09E1"/>
    <w:rsid w:val="00BB300F"/>
    <w:rsid w:val="00BB36D7"/>
    <w:rsid w:val="00BB4BEA"/>
    <w:rsid w:val="00BB76E8"/>
    <w:rsid w:val="00BC3087"/>
    <w:rsid w:val="00BC47F0"/>
    <w:rsid w:val="00BC7AC0"/>
    <w:rsid w:val="00BC7FCE"/>
    <w:rsid w:val="00BD64AD"/>
    <w:rsid w:val="00BE140D"/>
    <w:rsid w:val="00BE4B7D"/>
    <w:rsid w:val="00BE56DB"/>
    <w:rsid w:val="00BE5993"/>
    <w:rsid w:val="00BF0F29"/>
    <w:rsid w:val="00BF1E3C"/>
    <w:rsid w:val="00BF20A0"/>
    <w:rsid w:val="00BF64AF"/>
    <w:rsid w:val="00BF6937"/>
    <w:rsid w:val="00C04B34"/>
    <w:rsid w:val="00C10E0F"/>
    <w:rsid w:val="00C16B23"/>
    <w:rsid w:val="00C172B6"/>
    <w:rsid w:val="00C20C37"/>
    <w:rsid w:val="00C2316F"/>
    <w:rsid w:val="00C25428"/>
    <w:rsid w:val="00C269D9"/>
    <w:rsid w:val="00C31670"/>
    <w:rsid w:val="00C370C3"/>
    <w:rsid w:val="00C42097"/>
    <w:rsid w:val="00C42EDA"/>
    <w:rsid w:val="00C456A0"/>
    <w:rsid w:val="00C46BBB"/>
    <w:rsid w:val="00C5050B"/>
    <w:rsid w:val="00C562F1"/>
    <w:rsid w:val="00C565A4"/>
    <w:rsid w:val="00C56C13"/>
    <w:rsid w:val="00C624CC"/>
    <w:rsid w:val="00C62FBC"/>
    <w:rsid w:val="00C65549"/>
    <w:rsid w:val="00C66A91"/>
    <w:rsid w:val="00C730C4"/>
    <w:rsid w:val="00C732E3"/>
    <w:rsid w:val="00C74F67"/>
    <w:rsid w:val="00C76428"/>
    <w:rsid w:val="00C76D38"/>
    <w:rsid w:val="00C77370"/>
    <w:rsid w:val="00C77D02"/>
    <w:rsid w:val="00C81119"/>
    <w:rsid w:val="00C813DF"/>
    <w:rsid w:val="00C81BC9"/>
    <w:rsid w:val="00C83E28"/>
    <w:rsid w:val="00C86A4D"/>
    <w:rsid w:val="00C86C41"/>
    <w:rsid w:val="00C905CB"/>
    <w:rsid w:val="00C90B61"/>
    <w:rsid w:val="00C918CB"/>
    <w:rsid w:val="00C91A11"/>
    <w:rsid w:val="00C92EC7"/>
    <w:rsid w:val="00CA0B3C"/>
    <w:rsid w:val="00CA66B7"/>
    <w:rsid w:val="00CA724F"/>
    <w:rsid w:val="00CB3A13"/>
    <w:rsid w:val="00CB43F6"/>
    <w:rsid w:val="00CB5165"/>
    <w:rsid w:val="00CB7747"/>
    <w:rsid w:val="00CB7A88"/>
    <w:rsid w:val="00CC1E3C"/>
    <w:rsid w:val="00CC2536"/>
    <w:rsid w:val="00CC3BCE"/>
    <w:rsid w:val="00CC3C8D"/>
    <w:rsid w:val="00CD13C8"/>
    <w:rsid w:val="00CD33C2"/>
    <w:rsid w:val="00CD4C5C"/>
    <w:rsid w:val="00CD59A9"/>
    <w:rsid w:val="00CE24C9"/>
    <w:rsid w:val="00CE274E"/>
    <w:rsid w:val="00CE2C17"/>
    <w:rsid w:val="00CE3712"/>
    <w:rsid w:val="00CE37A5"/>
    <w:rsid w:val="00CE4DB1"/>
    <w:rsid w:val="00CE7A7B"/>
    <w:rsid w:val="00CF32D3"/>
    <w:rsid w:val="00CF36AC"/>
    <w:rsid w:val="00CF6DB6"/>
    <w:rsid w:val="00CF7A2C"/>
    <w:rsid w:val="00D0052D"/>
    <w:rsid w:val="00D00F9C"/>
    <w:rsid w:val="00D01F74"/>
    <w:rsid w:val="00D04D69"/>
    <w:rsid w:val="00D062C8"/>
    <w:rsid w:val="00D06C58"/>
    <w:rsid w:val="00D12998"/>
    <w:rsid w:val="00D13F27"/>
    <w:rsid w:val="00D14E33"/>
    <w:rsid w:val="00D17D75"/>
    <w:rsid w:val="00D22FBC"/>
    <w:rsid w:val="00D2434D"/>
    <w:rsid w:val="00D26BBA"/>
    <w:rsid w:val="00D272FC"/>
    <w:rsid w:val="00D277FA"/>
    <w:rsid w:val="00D312B8"/>
    <w:rsid w:val="00D32B15"/>
    <w:rsid w:val="00D408FB"/>
    <w:rsid w:val="00D42167"/>
    <w:rsid w:val="00D4302A"/>
    <w:rsid w:val="00D45D2D"/>
    <w:rsid w:val="00D46888"/>
    <w:rsid w:val="00D51AAD"/>
    <w:rsid w:val="00D55F2F"/>
    <w:rsid w:val="00D60BC9"/>
    <w:rsid w:val="00D63BBA"/>
    <w:rsid w:val="00D64082"/>
    <w:rsid w:val="00D64EBE"/>
    <w:rsid w:val="00D6635D"/>
    <w:rsid w:val="00D67D8B"/>
    <w:rsid w:val="00D70088"/>
    <w:rsid w:val="00D71510"/>
    <w:rsid w:val="00D77F50"/>
    <w:rsid w:val="00D81885"/>
    <w:rsid w:val="00D8472A"/>
    <w:rsid w:val="00D85469"/>
    <w:rsid w:val="00D857C2"/>
    <w:rsid w:val="00D87BBE"/>
    <w:rsid w:val="00D90A50"/>
    <w:rsid w:val="00D916F4"/>
    <w:rsid w:val="00D92020"/>
    <w:rsid w:val="00D955CD"/>
    <w:rsid w:val="00DA0001"/>
    <w:rsid w:val="00DA0BBD"/>
    <w:rsid w:val="00DA3030"/>
    <w:rsid w:val="00DA4E45"/>
    <w:rsid w:val="00DA5DEC"/>
    <w:rsid w:val="00DA73B7"/>
    <w:rsid w:val="00DA7942"/>
    <w:rsid w:val="00DB30AC"/>
    <w:rsid w:val="00DB5234"/>
    <w:rsid w:val="00DB6A2A"/>
    <w:rsid w:val="00DB6B50"/>
    <w:rsid w:val="00DB7026"/>
    <w:rsid w:val="00DC7312"/>
    <w:rsid w:val="00DC76B4"/>
    <w:rsid w:val="00DD0415"/>
    <w:rsid w:val="00DD1298"/>
    <w:rsid w:val="00DD4D00"/>
    <w:rsid w:val="00DE0169"/>
    <w:rsid w:val="00DE108B"/>
    <w:rsid w:val="00DE17C3"/>
    <w:rsid w:val="00DE39D9"/>
    <w:rsid w:val="00DE5D7F"/>
    <w:rsid w:val="00DE6CD5"/>
    <w:rsid w:val="00DF1E7F"/>
    <w:rsid w:val="00DF3ABA"/>
    <w:rsid w:val="00DF4E8F"/>
    <w:rsid w:val="00DF5481"/>
    <w:rsid w:val="00DF6418"/>
    <w:rsid w:val="00DF67F0"/>
    <w:rsid w:val="00DF6DFE"/>
    <w:rsid w:val="00E01E11"/>
    <w:rsid w:val="00E055AE"/>
    <w:rsid w:val="00E0660C"/>
    <w:rsid w:val="00E07D04"/>
    <w:rsid w:val="00E15EA3"/>
    <w:rsid w:val="00E16225"/>
    <w:rsid w:val="00E16D70"/>
    <w:rsid w:val="00E2191A"/>
    <w:rsid w:val="00E21B9D"/>
    <w:rsid w:val="00E2226A"/>
    <w:rsid w:val="00E23570"/>
    <w:rsid w:val="00E23F4E"/>
    <w:rsid w:val="00E24E28"/>
    <w:rsid w:val="00E26833"/>
    <w:rsid w:val="00E27B86"/>
    <w:rsid w:val="00E30D86"/>
    <w:rsid w:val="00E314BB"/>
    <w:rsid w:val="00E31834"/>
    <w:rsid w:val="00E34734"/>
    <w:rsid w:val="00E34A19"/>
    <w:rsid w:val="00E35503"/>
    <w:rsid w:val="00E40B87"/>
    <w:rsid w:val="00E43645"/>
    <w:rsid w:val="00E440FD"/>
    <w:rsid w:val="00E45DF2"/>
    <w:rsid w:val="00E4671C"/>
    <w:rsid w:val="00E50CBB"/>
    <w:rsid w:val="00E53C3D"/>
    <w:rsid w:val="00E55BF0"/>
    <w:rsid w:val="00E5601F"/>
    <w:rsid w:val="00E61946"/>
    <w:rsid w:val="00E626CF"/>
    <w:rsid w:val="00E64291"/>
    <w:rsid w:val="00E643BA"/>
    <w:rsid w:val="00E66C4E"/>
    <w:rsid w:val="00E67B69"/>
    <w:rsid w:val="00E67FDB"/>
    <w:rsid w:val="00E714F8"/>
    <w:rsid w:val="00E73478"/>
    <w:rsid w:val="00E73487"/>
    <w:rsid w:val="00E74409"/>
    <w:rsid w:val="00E74E76"/>
    <w:rsid w:val="00E75A18"/>
    <w:rsid w:val="00E81D28"/>
    <w:rsid w:val="00E82B85"/>
    <w:rsid w:val="00E83315"/>
    <w:rsid w:val="00E87398"/>
    <w:rsid w:val="00E879CF"/>
    <w:rsid w:val="00E879DB"/>
    <w:rsid w:val="00E90453"/>
    <w:rsid w:val="00E913CD"/>
    <w:rsid w:val="00E91B79"/>
    <w:rsid w:val="00E931ED"/>
    <w:rsid w:val="00EA36C8"/>
    <w:rsid w:val="00EA3C49"/>
    <w:rsid w:val="00EA3FC9"/>
    <w:rsid w:val="00EA56F5"/>
    <w:rsid w:val="00EB1815"/>
    <w:rsid w:val="00EB26D7"/>
    <w:rsid w:val="00EB4EA6"/>
    <w:rsid w:val="00EB5682"/>
    <w:rsid w:val="00EC0A2C"/>
    <w:rsid w:val="00EC1AEF"/>
    <w:rsid w:val="00EC7253"/>
    <w:rsid w:val="00ED058A"/>
    <w:rsid w:val="00ED1ECF"/>
    <w:rsid w:val="00EE0C1D"/>
    <w:rsid w:val="00EE2806"/>
    <w:rsid w:val="00EE2C11"/>
    <w:rsid w:val="00EE4557"/>
    <w:rsid w:val="00EE45FB"/>
    <w:rsid w:val="00EE7E69"/>
    <w:rsid w:val="00EF2145"/>
    <w:rsid w:val="00EF2CEB"/>
    <w:rsid w:val="00EF5DD3"/>
    <w:rsid w:val="00F05A6F"/>
    <w:rsid w:val="00F06098"/>
    <w:rsid w:val="00F067AA"/>
    <w:rsid w:val="00F06A52"/>
    <w:rsid w:val="00F13214"/>
    <w:rsid w:val="00F14D6E"/>
    <w:rsid w:val="00F15F56"/>
    <w:rsid w:val="00F230C2"/>
    <w:rsid w:val="00F23577"/>
    <w:rsid w:val="00F23739"/>
    <w:rsid w:val="00F2492D"/>
    <w:rsid w:val="00F257D9"/>
    <w:rsid w:val="00F26707"/>
    <w:rsid w:val="00F354BB"/>
    <w:rsid w:val="00F3723A"/>
    <w:rsid w:val="00F41439"/>
    <w:rsid w:val="00F457C2"/>
    <w:rsid w:val="00F5103C"/>
    <w:rsid w:val="00F515B7"/>
    <w:rsid w:val="00F51EBB"/>
    <w:rsid w:val="00F53976"/>
    <w:rsid w:val="00F53F45"/>
    <w:rsid w:val="00F56496"/>
    <w:rsid w:val="00F607C2"/>
    <w:rsid w:val="00F612BF"/>
    <w:rsid w:val="00F62A84"/>
    <w:rsid w:val="00F64946"/>
    <w:rsid w:val="00F70EB5"/>
    <w:rsid w:val="00F73DC3"/>
    <w:rsid w:val="00F7407A"/>
    <w:rsid w:val="00F74DC6"/>
    <w:rsid w:val="00F7559B"/>
    <w:rsid w:val="00F761EB"/>
    <w:rsid w:val="00F805E8"/>
    <w:rsid w:val="00F80E35"/>
    <w:rsid w:val="00F85FA2"/>
    <w:rsid w:val="00F866E8"/>
    <w:rsid w:val="00F92E8D"/>
    <w:rsid w:val="00FA0D90"/>
    <w:rsid w:val="00FA2FE0"/>
    <w:rsid w:val="00FA3B2C"/>
    <w:rsid w:val="00FA4235"/>
    <w:rsid w:val="00FA7537"/>
    <w:rsid w:val="00FB1E5F"/>
    <w:rsid w:val="00FB1FCF"/>
    <w:rsid w:val="00FB212D"/>
    <w:rsid w:val="00FB25E4"/>
    <w:rsid w:val="00FB4495"/>
    <w:rsid w:val="00FB61C2"/>
    <w:rsid w:val="00FB7B04"/>
    <w:rsid w:val="00FC00C7"/>
    <w:rsid w:val="00FC040C"/>
    <w:rsid w:val="00FC10FF"/>
    <w:rsid w:val="00FC4CF5"/>
    <w:rsid w:val="00FC6412"/>
    <w:rsid w:val="00FC780A"/>
    <w:rsid w:val="00FC79FA"/>
    <w:rsid w:val="00FD36EA"/>
    <w:rsid w:val="00FD3A08"/>
    <w:rsid w:val="00FD4168"/>
    <w:rsid w:val="00FD573E"/>
    <w:rsid w:val="00FD5F2E"/>
    <w:rsid w:val="00FD60CE"/>
    <w:rsid w:val="00FD6A93"/>
    <w:rsid w:val="00FE0F76"/>
    <w:rsid w:val="00FE7963"/>
    <w:rsid w:val="00FF0819"/>
    <w:rsid w:val="00FF63DF"/>
    <w:rsid w:val="00FF7927"/>
    <w:rsid w:val="00FF7FA8"/>
    <w:rsid w:val="18383D82"/>
    <w:rsid w:val="29AD2AB1"/>
    <w:rsid w:val="2B30064E"/>
    <w:rsid w:val="3CE97F5D"/>
    <w:rsid w:val="49993136"/>
    <w:rsid w:val="7DB809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6" w:lineRule="auto"/>
      <w:outlineLvl w:val="0"/>
    </w:pPr>
    <w:rPr>
      <w:b/>
      <w:bCs/>
      <w:kern w:val="44"/>
      <w:sz w:val="44"/>
      <w:szCs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23"/>
    <w:qFormat/>
    <w:uiPriority w:val="0"/>
    <w:pPr>
      <w:tabs>
        <w:tab w:val="left" w:pos="562"/>
        <w:tab w:val="left" w:pos="3372"/>
        <w:tab w:val="left" w:pos="3653"/>
      </w:tabs>
    </w:pPr>
    <w:rPr>
      <w:sz w:val="24"/>
    </w:rPr>
  </w:style>
  <w:style w:type="paragraph" w:styleId="4">
    <w:name w:val="annotation text"/>
    <w:basedOn w:val="1"/>
    <w:link w:val="21"/>
    <w:qFormat/>
    <w:uiPriority w:val="0"/>
    <w:pPr>
      <w:jc w:val="left"/>
    </w:pPr>
  </w:style>
  <w:style w:type="paragraph" w:styleId="5">
    <w:name w:val="Plain Text"/>
    <w:basedOn w:val="1"/>
    <w:link w:val="25"/>
    <w:qFormat/>
    <w:uiPriority w:val="0"/>
    <w:rPr>
      <w:rFonts w:ascii="宋体" w:hAnsi="Courier New"/>
      <w:szCs w:val="20"/>
    </w:rPr>
  </w:style>
  <w:style w:type="paragraph" w:styleId="6">
    <w:name w:val="Balloon Text"/>
    <w:basedOn w:val="1"/>
    <w:link w:val="20"/>
    <w:qFormat/>
    <w:uiPriority w:val="0"/>
    <w:rPr>
      <w:sz w:val="18"/>
      <w:szCs w:val="18"/>
    </w:rPr>
  </w:style>
  <w:style w:type="paragraph" w:styleId="7">
    <w:name w:val="footer"/>
    <w:basedOn w:val="1"/>
    <w:link w:val="24"/>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bCs/>
    </w:rPr>
  </w:style>
  <w:style w:type="character" w:styleId="13">
    <w:name w:val="annotation reference"/>
    <w:basedOn w:val="11"/>
    <w:qFormat/>
    <w:uiPriority w:val="0"/>
    <w:rPr>
      <w:sz w:val="21"/>
      <w:szCs w:val="21"/>
    </w:rPr>
  </w:style>
  <w:style w:type="paragraph" w:customStyle="1" w:styleId="14">
    <w:name w:val="表格内文字"/>
    <w:basedOn w:val="1"/>
    <w:qFormat/>
    <w:uiPriority w:val="0"/>
    <w:rPr>
      <w:sz w:val="24"/>
      <w:szCs w:val="20"/>
    </w:rPr>
  </w:style>
  <w:style w:type="table" w:customStyle="1" w:styleId="15">
    <w:name w:val="网格型1"/>
    <w:basedOn w:val="9"/>
    <w:qFormat/>
    <w:uiPriority w:val="0"/>
    <w:pPr>
      <w:widowControl w:val="0"/>
      <w:spacing w:line="360" w:lineRule="auto"/>
      <w:jc w:val="both"/>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
    <w:name w:val="网格型2"/>
    <w:basedOn w:val="9"/>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7">
    <w:name w:val="List Paragraph"/>
    <w:basedOn w:val="1"/>
    <w:qFormat/>
    <w:uiPriority w:val="99"/>
    <w:pPr>
      <w:ind w:firstLine="420" w:firstLineChars="200"/>
    </w:pPr>
  </w:style>
  <w:style w:type="character" w:customStyle="1" w:styleId="18">
    <w:name w:val="标题1"/>
    <w:basedOn w:val="11"/>
    <w:qFormat/>
    <w:uiPriority w:val="0"/>
  </w:style>
  <w:style w:type="paragraph" w:customStyle="1" w:styleId="19">
    <w:name w:val="列出段落1"/>
    <w:basedOn w:val="1"/>
    <w:link w:val="22"/>
    <w:unhideWhenUsed/>
    <w:qFormat/>
    <w:uiPriority w:val="0"/>
    <w:pPr>
      <w:ind w:firstLine="420" w:firstLineChars="200"/>
    </w:pPr>
  </w:style>
  <w:style w:type="character" w:customStyle="1" w:styleId="20">
    <w:name w:val="批注框文本 字符"/>
    <w:basedOn w:val="11"/>
    <w:link w:val="6"/>
    <w:qFormat/>
    <w:uiPriority w:val="0"/>
    <w:rPr>
      <w:rFonts w:ascii="Times New Roman" w:hAnsi="Times New Roman" w:eastAsia="宋体" w:cs="Times New Roman"/>
      <w:kern w:val="2"/>
      <w:sz w:val="18"/>
      <w:szCs w:val="18"/>
    </w:rPr>
  </w:style>
  <w:style w:type="character" w:customStyle="1" w:styleId="21">
    <w:name w:val="批注文字 字符"/>
    <w:basedOn w:val="11"/>
    <w:link w:val="4"/>
    <w:qFormat/>
    <w:uiPriority w:val="0"/>
    <w:rPr>
      <w:rFonts w:ascii="Times New Roman" w:hAnsi="Times New Roman" w:eastAsia="宋体" w:cs="Times New Roman"/>
      <w:kern w:val="2"/>
      <w:sz w:val="21"/>
      <w:szCs w:val="24"/>
    </w:rPr>
  </w:style>
  <w:style w:type="character" w:customStyle="1" w:styleId="22">
    <w:name w:val="列表段落 字符"/>
    <w:link w:val="19"/>
    <w:qFormat/>
    <w:uiPriority w:val="0"/>
    <w:rPr>
      <w:rFonts w:ascii="Times New Roman" w:hAnsi="Times New Roman" w:eastAsia="宋体" w:cs="Times New Roman"/>
      <w:kern w:val="2"/>
      <w:sz w:val="21"/>
      <w:szCs w:val="24"/>
    </w:rPr>
  </w:style>
  <w:style w:type="character" w:customStyle="1" w:styleId="23">
    <w:name w:val="正文文本 字符"/>
    <w:basedOn w:val="11"/>
    <w:link w:val="2"/>
    <w:qFormat/>
    <w:uiPriority w:val="0"/>
    <w:rPr>
      <w:rFonts w:ascii="Times New Roman" w:hAnsi="Times New Roman" w:eastAsia="宋体" w:cs="Times New Roman"/>
      <w:kern w:val="2"/>
      <w:sz w:val="24"/>
      <w:szCs w:val="24"/>
    </w:rPr>
  </w:style>
  <w:style w:type="character" w:customStyle="1" w:styleId="24">
    <w:name w:val="页脚 字符"/>
    <w:basedOn w:val="11"/>
    <w:link w:val="7"/>
    <w:qFormat/>
    <w:uiPriority w:val="0"/>
    <w:rPr>
      <w:rFonts w:ascii="Times New Roman" w:hAnsi="Times New Roman" w:eastAsia="宋体" w:cs="Times New Roman"/>
      <w:kern w:val="2"/>
      <w:sz w:val="18"/>
      <w:szCs w:val="18"/>
    </w:rPr>
  </w:style>
  <w:style w:type="character" w:customStyle="1" w:styleId="25">
    <w:name w:val="纯文本 字符"/>
    <w:basedOn w:val="11"/>
    <w:link w:val="5"/>
    <w:qFormat/>
    <w:uiPriority w:val="0"/>
    <w:rPr>
      <w:rFonts w:ascii="宋体" w:hAnsi="Courier New" w:eastAsia="宋体" w:cs="Times New Roman"/>
      <w:kern w:val="2"/>
      <w:sz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1423</Words>
  <Characters>1432</Characters>
  <Lines>10</Lines>
  <Paragraphs>2</Paragraphs>
  <TotalTime>1295</TotalTime>
  <ScaleCrop>false</ScaleCrop>
  <LinksUpToDate>false</LinksUpToDate>
  <CharactersWithSpaces>1438</CharactersWithSpaces>
  <Application>WPS Office_12.1.0.24655_F1E327BC-269C-435d-A152-05C5408002CA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2022-06-23T01:47:00Z</dcterms:created>
  <dc:creator>悠悠的风</dc:creator>
  <cp:lastModifiedBy>乐行</cp:lastModifiedBy>
  <dcterms:modified xsi:type="dcterms:W3CDTF">2026-09-07T08:57:37Z</dcterms:modified>
  <cp:revision>3611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2052-12.1.0.24655</vt:lpwstr>
  </property>
  <property fmtid="{D5CDD505-2E9C-101B-9397-08002B2CF9AE}" pid="3" name="ICV">
    <vt:lpwstr>E738043B2C3E45D8A9915DC2F01EAC7D_13</vt:lpwstr>
  </property>
  <property fmtid="{D5CDD505-2E9C-101B-9397-08002B2CF9AE}" pid="4" name="KSOTemplateDocerSaveRecord">
    <vt:lpwstr>eyJoZGlkIjoiMGM0OTU0YzY5Mjc1YzQ1NDkyMDNkMThhN2MxZTdiYjUiLCJ1c2VySWQiOiIyODA4MTczMyJ9</vt:lpwstr>
  </property>
</Properties>
</file>